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13 July 2026</w:t>
      </w:r>
    </w:p>
    <w:p>
      <w:pPr>
        <w:spacing w:before="0" w:after="160" w:line="276" w:lineRule="auto"/>
      </w:pPr>
      <w:r>
        <w:rPr>
          <w:sz w:val="21"/>
        </w:rPr>
        <w:t>Building AI systems that survive the transition from a local prototype to a 24/7 production environment is a challenge I find deeply rewarding. My recent work on an agentic job-application platform required me to solve exactly the kind of 'messy' real-world problems SLR tackles: implementing multi-model failover, managing rate-limited API integrations, and ensuring high-availability through containerized deployment.</w:t>
      </w:r>
    </w:p>
    <w:p>
      <w:pPr>
        <w:spacing w:before="0" w:after="160" w:line="276" w:lineRule="auto"/>
      </w:pPr>
      <w:r>
        <w:rPr>
          <w:sz w:val="21"/>
        </w:rPr>
        <w:t>In this project, I engineered a quality-gate loop that iterates AI-generated content until it meets an 85% ATS match threshold. This required a rigorous approach to prompt engineering, function-calling, and automated testing—121 unit tests in total—to ensure the system remained reliable under load. My experience with RAG architectures and vector database integration allows me to build knowledge layers that connect LLMs to external data sources effectively, a core requirement for the intelligent applications you are developing.</w:t>
      </w:r>
    </w:p>
    <w:p>
      <w:pPr>
        <w:spacing w:before="0" w:after="160" w:line="276" w:lineRule="auto"/>
      </w:pPr>
      <w:r>
        <w:rPr>
          <w:sz w:val="21"/>
        </w:rPr>
        <w:t>Beyond the LLM stack, I bring a strong foundation in backend engineering and data analysis. Whether it is optimizing a DenseNet CNN to 98.84% accuracy for wildfire detection or using advanced SQL window functions to analyze 188 months of NHS performance data, I prioritize building systems that deliver measurable business value. I am comfortable working across the full delivery lifecycle, from initial system design to CI/CD deployment on cloud infrastructure.</w:t>
      </w:r>
    </w:p>
    <w:p>
      <w:pPr>
        <w:spacing w:before="0" w:after="160" w:line="276" w:lineRule="auto"/>
      </w:pPr>
      <w:r>
        <w:rPr>
          <w:sz w:val="21"/>
        </w:rPr>
        <w:t>I am drawn to SLR because of your commitment to practical, production-ready AI. I am ready to contribute to your team’s efforts in building robust orchestration layers and tool-use frameworks. Thank you for considering my application; I am available to discuss how my technical background and hands-on approach to AI engineering can support your current projects.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