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Graduate 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Ambitious MSc Computer Science graduate and AI Engineer specializing in agentic workflows and production-grade Generative AI systems. Built and deployed a 24/7 automated LLM pipeline with multi-model failover and 121 unit tests, directly improving operational efficiency.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Generative AI &amp; LLMs: </w:t>
      </w:r>
      <w:r>
        <w:t>Generative AI, LLMs, Agentic workflows, Prompt engineering, API integration, Model evaluation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Python, SQL, Oracle Cloud, AWS, pytest, Production deployment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Data modelling, Power BI, Scikit-learn, Pandas, NumPy, Statistical analysis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content until achieving an 85% ATS match threshold, ensuring high-quality output for production use.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robust Python pipeline integrating Google Gemini LLMs to automate complex workflows, featuring multi-model failover and exponential-backoff retries for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Shipped production-ready code with 121 automated unit tests using pytest, ensuring maintainability and scalability for 24/7 operations.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responsive Next.js dashboard on Vercel and a Telegram bot on Oracle Cloud, demonstrating end-to-end ownership of AI-powered automation products.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complex healthcare data using advanced SQL window functions (LAG, AVG OVER) and CTEs to model performance against 4-hour waiting time targets.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in Scikit-learn to predict breach risk with 0.90–0.95 ROC-AUC, identifying key drivers for operational decision-making.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16% accuracy improvement over baseline architectures by training a DenseNet CNN on 2,700+ high-resolution images for early detection.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rigorous model evaluation techniques, including GridSearchCV and cross-validation, to ensure system robustness and reliability.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dashboards using DAX and data modelling to surface actionable KPIs for academic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focusing on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