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Marketing Analytics and data-driven decision-making. Proven ability to translate complex datasets into actionable business insights through advanced SQL, Python, and interactive dashboarding for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Marketing Tech &amp; Analytics: </w:t>
      </w:r>
      <w:r>
        <w:t>Tableau, Power BI, Advanced Excel, DAX, Power Query, SQL, Pandas, NumPy</w:t>
      </w:r>
    </w:p>
    <w:p>
      <w:pPr>
        <w:spacing w:before="0" w:after="20"/>
      </w:pPr>
      <w:r>
        <w:rPr>
          <w:b/>
        </w:rPr>
        <w:t xml:space="preserve">Data Science &amp; ML: </w:t>
      </w:r>
      <w:r>
        <w:t>Python, Scikit-learn, TensorFlow, Keras, Predictive Modeling, Data Visualization</w:t>
      </w:r>
    </w:p>
    <w:p>
      <w:pPr>
        <w:spacing w:before="0" w:after="20"/>
      </w:pPr>
      <w:r>
        <w:rPr>
          <w:b/>
        </w:rPr>
        <w:t xml:space="preserve">Tools &amp; Workflow: </w:t>
      </w:r>
      <w:r>
        <w:t>GitHub, pytest, Data Cleaning, Reporting Automation,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advanced SQL window functions and CTEs to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reducing manual data investigation time by 5 hours/week for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providing actionable insights for resource allocation and performance measurement.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CNNs, achieving 98.84% accuracy—a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presenting findings to academic stakeholders to demonstrate model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trends, improving reporting efficiency by 10 hours/week.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to validate data insights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data findings through clear, non-technical visualisations to support decision-making processes.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