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and Machine Learning Engineer (2 Year Fixed Term Contract)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AI and Machine Learning Engineer with an MSc in Computer Science and a proven track record of deploying production-grade ML pipelines and predictive analytics. Delivered a 98.84% accurate deep learning system and SQL-driven performance models to solve complex operational challenges.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 &amp; AI: </w:t>
      </w:r>
      <w:r>
        <w:t>TensorFlow, Keras, Scikit-learn, statistical modelling, predictive analytics, CNNs</w:t>
      </w:r>
    </w:p>
    <w:p>
      <w:pPr>
        <w:spacing w:before="0" w:after="20"/>
      </w:pPr>
      <w:r>
        <w:rPr>
          <w:b/>
        </w:rPr>
        <w:t xml:space="preserve">Data &amp; Engineering: </w:t>
      </w:r>
      <w:r>
        <w:t>Python, SQL, Pandas, Matplotlib, Power BI, data analysis</w:t>
      </w:r>
    </w:p>
    <w:p>
      <w:pPr>
        <w:spacing w:before="0" w:after="20"/>
      </w:pPr>
      <w:r>
        <w:rPr>
          <w:b/>
        </w:rPr>
        <w:t xml:space="preserve">Cloud &amp; Deployment: </w:t>
      </w:r>
      <w:r>
        <w:t>Oracle Cloud, AWS, pytest, agentic pipelines, model evaluation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root cause analysis on 188 months of performance data to identify drivers of operational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 trends, revealing a 29% target compliance rate.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achieving 0.90–0.95 ROC-AUC to predict monthly breach risk, identifying seasonality and rolling compliance as key predictive features.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 and Chart.js dashboard to communicate operational performance insights to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image-based detection,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statistical modelling and data augmentation to address class imbalance and brightness variation in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Validated model robustness using GridSearchCV and cross-validation, presenting technical findings to academic stakeholders.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LLM pipeline for automated data processing, incorporating multi-model failover and 121 automated pytest unit tests.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production solution on Oracle Cloud, ensuring system reliability through rate-limiting and exponential-backoff retries.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to support technical conclusions.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