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with a proven track record of deploying production-grade agentic LLM pipelines and healthcare-focused analytics systems. Delivered a 24/7 production LLM pipeline featuring multi-model failover and 121 automated tests to ensure high-reliability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Python, LLM API integration, agentic pipelines, TensorFlow, Scikit-learn, CNNs</w:t>
      </w:r>
    </w:p>
    <w:p>
      <w:pPr>
        <w:spacing w:before="0" w:after="20"/>
      </w:pPr>
      <w:r>
        <w:rPr>
          <w:b/>
        </w:rPr>
        <w:t xml:space="preserve">Backend &amp; Engineering: </w:t>
      </w:r>
      <w:r>
        <w:t>SQL, API development, pytest, Git, automated testing, web scraping</w:t>
      </w:r>
    </w:p>
    <w:p>
      <w:pPr>
        <w:spacing w:before="0" w:after="20"/>
      </w:pPr>
      <w:r>
        <w:rPr>
          <w:b/>
        </w:rPr>
        <w:t xml:space="preserve">Data &amp; Cloud: </w:t>
      </w:r>
      <w:r>
        <w:t>Pandas, NumPy, Power BI, Oracle Cloud, AWS S3,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production-grade agentic LLM pipeline that automates resume tailoring and outreach, achieving an 85% ATS match threshold through iterative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robust backend services in Python, integrating Google Gemini API with multi-model failover and exponential-backoff retries to ensure 24/7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using pytest to maintain high engineering standards and ensure secure, reliable performance in a production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~50 job postings per run across LinkedIn and Indeed, processing unstructured data into structured, ATS-optimised outputs.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NHS England A&amp;E performance data, applying advanced SQL window functions (LAG, AVG OVER) to classify compliance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monthly breach risk with 0.90–0.95 ROC-AUC, identifying key drivers for clinical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via an interactive Chart.js dashboard, surfacing critical insights into 12-hour waiter spikes and seasonality heatmaps.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using DenseNet CNNs on 2,700+ images,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reliability for high-stakes environmental monitoring.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