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designing and operationalizing agentic LLM pipelines and scalable AI-powered applications. Committed to Responsible AI principles, I build production-ready systems featuring multi-model failover, rigorous automated testing, and secure lifecycle management.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Agentic AI, LLMs, Generative AI, Prompt engineering, RAG architectures, Responsible AI, Governance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AWS, Oracle Cloud, Azure, pytest, MLOps, API integration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Power BI, Tableau, Scikit-learn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ensuring outputs meet strict quality standards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scalable LLM pipeline using Google Gemini API, incorporating multi-model failover and exponential-backoff retries to ensure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end-to-end workflows by scraping ~50 job postings per run and integrating Telegram Bot API for real-time delivery of optimized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robustness through 121 automated unit tests using pytest and deployed the full stack on Oracle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Responsible AI guardrails to ensure content-based deduplication and secure data handling within the automated pipeline.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Operationalized a predictive model using Scikit-learn to identify monthly breach risk with 0.90–0.95 ROC-AUC, providing actionable insights for decision-support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complex SQL pipelines using window functions and CTEs to process 188 months of performance data, revealing a 51-month consecutive crisis streak.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