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 strong foundation in machine learning, predictive analytics, and end-to-end pipeline development. Delivered a 0.90–0.95 ROC-AUC Random Forest model for NHS performance forecasting and achieved 98.84% accuracy in deep learning image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Scikit-learn, Predictive analytics, Statistical modelling, TensorFlow, Random Forest, CNNs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Data visualisation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AWS, Azure, Oracle Cloud, pytest,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drivers of 4-hour target breaches by analysing 188 months of NHS data, enabling stakeholders to identify the 51-month 'Crisis' 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ROC-AUC, reducing uncertainty in monthly breach risk forecasting by identifying rolling 3-month compliance as a primary predictor.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SQL query performance using window functions and CTEs to process large-scale datasets, reducing manual reporting time for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that visualised seasonality heatmaps and 12-hour waiter spikes, improving data accessibility for non-technical decision-makers.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wildfire detection accuracy by 16% over baseline architectures by implementing a DenseNet CNN pipeline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Enhanced model robustness against environmental brightness variation by applying Multi-Scale Retinex preprocessing and systematic data augmentation.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Streamlined decision-making processes by building interactive Power BI dashboards that surfaced critical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Standardised ML experimentation workflows using Scikit-learn, ensuring reproducible feature engineering and model selection across academic projects.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