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 (Telford)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specialising in predictive modelling and advanced analytics with a strong interest in applying data science to the Insurance and Financial Services sectors. Proven track record of delivering strategic, stakeholder-facing insights through SQL-driven performance analysis and high-accuracy deep learning systems.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AI: </w:t>
      </w:r>
      <w:r>
        <w:t>TensorFlow, Keras, CNNs, Predictive models, Scikit-learn, Deep learning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SQL, Power BI, Statistical analyses, Data visualisations, Pandas, NumPy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Python, Oracle Cloud, AWS, pytest, Git, API integration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Advised healthcare stakeholders by analysing 188 months of performance data to identify systemic drivers behind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Architected advanced SQL queries using window functions and CTEs to classify performance trends, revealing critical insights into long-term service collapse.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Optimised strategic decision-making by developing a Random Forest classifier (0.90–0.95 ROC-AUC) to forecast monthly breach risk.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Architected an end-to-end ML pipeline using DenseNet CNNs, achieving 98.84% accuracy and outperforming baseline architectures by 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Optimised model robustness by applying GridSearchCV and cross-validation across 2,700+ high-resolution images to ensure reliable performance.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Optimised business decision-making by building interactive Power BI dashboards that surfaced key performance indicators and regional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Advised on model selection by conducting reproducible ML experiments with Scikit-learn, applying rigorous feature engineering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