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(Distinction) with a research-driven focus on machine learning, statistical modelling, and the evaluation of production-grade conversational AI systems. Proven ability to apply rigorous data analysis and experimentation frameworks to solve complex, real-world problems while maintaining a sceptical mindset toward model performance and failure modes.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 &amp; AI: </w:t>
      </w:r>
      <w:r>
        <w:t>LLMs, Conversational AI, Prompt Engineering, Model Evaluation, Scikit-learn, TensorFlow, CNNs</w:t>
      </w:r>
    </w:p>
    <w:p>
      <w:pPr>
        <w:spacing w:before="0" w:after="20"/>
      </w:pPr>
      <w:r>
        <w:rPr>
          <w:b/>
        </w:rPr>
        <w:t xml:space="preserve">Data &amp; Statistics: </w:t>
      </w:r>
      <w:r>
        <w:t>Python, SQL, Pandas, NumPy, Statistical Analysis, Experimentation, Data Modelling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pytest, API Integration, Oracle Cloud, AWS, Next.js,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to identify drivers behind the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(LAG, AVG OVER) and CTEs to classify system status, revealing the NHS met its 95% target in only 29% of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predicting monthly breach risk (0.90–0.95 ROC-AUC), identifying rolling 3-month compliance history as the strongest predictive feature.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wildfire detection using DenseNet-based CNNs, achieving 98.84% accuracy—a 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Debugged model failure modes related to brightness variation and class imbalance by implementing Multi-Scale Retinex preprocessing and targeted data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critically evaluating performance metrics beyond simple accuracy to validate real-world applicability.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regional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rigorous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