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Machine Learning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Machine Learning Engineer with a strong foundation in building scalable data pipelines and maintaining production-grade machine learning systems. Proven ability to collaborate with cross-functional teams to deliver robust, data-driven solutions that improve operational performance and decision-making.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pytest, CI/CD workflows, Git, Oracle Cloud, AWS S3, Azure, Docker</w:t>
      </w:r>
    </w:p>
    <w:p>
      <w:pPr>
        <w:spacing w:before="0" w:after="20"/>
      </w:pPr>
      <w:r>
        <w:rPr>
          <w:b/>
        </w:rPr>
        <w:t xml:space="preserve">Machine Learning &amp; AI: </w:t>
      </w:r>
      <w:r>
        <w:t>scikit-learn, TensorFlow, Keras, CNNs, model evaluation, deep learning</w:t>
      </w:r>
    </w:p>
    <w:p>
      <w:pPr>
        <w:spacing w:before="0" w:after="20"/>
      </w:pPr>
      <w:r>
        <w:rPr>
          <w:b/>
        </w:rPr>
        <w:t xml:space="preserve">Data &amp; Languages: </w:t>
      </w:r>
      <w:r>
        <w:t>Python, SQL, Pandas, NumPy, data pipelines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real NHS England A&amp;E performance data, revealing the 95% target was met in only 55 months (29% of the time).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and CTEs to transform datasets, identifying a 141x spike in 12-hour waiters compared to 2019 levels.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Random Forest classifier predicting monthly breach risk with 0.90–0.95 ROC-AUC, identifying rolling 3-month compliance as a primary feature.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using DenseNet-based CNNs on 2,700+ images, achieving 98.84% accuracy—a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 and performance stability across varying environmental conditions.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surfacing KPIs and region-based trends, applying data modelling best practices to support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utilizing Pandas for feature engineering and model selection.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