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Machine Learning Engineer with expertise in building production-grade agentic LLM pipelines and scalable ML systems. Delivered a 24/7 production LLM pipeline featuring multi-model failover, automated quality-gate loops, and 121 unit tests to ensure high-reliability deployment.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Python, TensorFlow, Scikit-learn, CNNs, LLM API integration, Agentic pipelines</w:t>
      </w:r>
    </w:p>
    <w:p>
      <w:pPr>
        <w:spacing w:before="0" w:after="20"/>
      </w:pPr>
      <w:r>
        <w:rPr>
          <w:b/>
        </w:rPr>
        <w:t xml:space="preserve">MLOps &amp; Engineering: </w:t>
      </w:r>
      <w:r>
        <w:t>pytest, CI/CD, Model evaluation, Production monitoring, Oracle Cloud, AWS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Pandas, NumPy, Power BI, Data modelling, Feature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achieving an 85% ATS-match threshold, ensuring production-ready output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robust Python pipeline for 24/7 production use, incorporating multi-model failover, exponential-backoff retries, and content-based deduplication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components, ensuring high code maintainability and reliable deployment cycles.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end-to-end system on Oracle Cloud VM, managing the full ML lifecycle from scraping ~50 job postings to automated delivery of tailored applications.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identifying key drivers of performance drift in regulated healthcare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advanced SQL queries using window functions and CTEs to process 188 months of performance data, providing actionable insights into 12-hour wait-time spikes.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wildfire detection system achieving 98.84% accuracy on 2,700+ images, representing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rigorous model evaluation using GridSearchCV and cross-validation to ensure robustness and fairness in classification performance.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KPIs and trends for stakeholder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academic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