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Research 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Research Data Scientist with an MSc in Computer Science, specialising in Python, SQL, and machine learning techniques including tree-based ensembles and regularised regression. Proven track record in developing production science modules, performing exploratory data analysis, and validating predictive models to drive actionable business insights.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Technical Expertise: </w:t>
      </w:r>
      <w:r>
        <w:t>Python, SQL, Spark, Scikit-learn, Pandas, NumPy</w:t>
      </w:r>
    </w:p>
    <w:p>
      <w:pPr>
        <w:spacing w:before="0" w:after="20"/>
      </w:pPr>
      <w:r>
        <w:rPr>
          <w:b/>
        </w:rPr>
        <w:t xml:space="preserve">Machine Learning: </w:t>
      </w:r>
      <w:r>
        <w:t>Regularised regression, Clustering, Tree-based ensembles, Exploratory data analysis, Data visualisation, Model validation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using Google Gemini LLMs that iterates on resume content until achieving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 reliability features including multi-model failover, exponential-backoff retries, and 121 automated unit tests via pytest.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tree-based ensemble model achieving 0.90–0.95 ROC-AUC to predict monthly breach risk, identifying seasonality and compliance history as key predictive features.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 production science module by deploying the model to process 188 months of NHS performance data, enabling automated risk classification for hospital management.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exploratory data analysis using SQL window functions and CTEs to characterise performance trends, providing stakeholders with clear visualisations of 12-hour waiter spikes.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98.84% accuracy rate (+16% over baseline) for wildfire detection by applying DenseNet CNNs and GridSearchCV for hyperparameter optimisation.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data augmentation and Multi-Scale Retinex preprocessing to mitigate class imbalance and brightness variation in 2,700+ high-resolution images.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regional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Conducted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