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AI &amp; Systems Modeller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AI &amp; Systems Modeller with expertise in MLOps, automated pipelines, and financial variance analysis using Python, SQL, and Power BI. Delivered a 98.84% accurate predictive system and automated 121 quality-gate tests to ensure production-grade reliability and decision enablement.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AI &amp; Systems Modelling: </w:t>
      </w:r>
      <w:r>
        <w:t>MLOps, Automated pipelines, Explainable AI (XAI), Human-in-the-loop (HITL) workflows, Financial modelling, Variance analysis, Model drift monitoring</w:t>
      </w:r>
    </w:p>
    <w:p>
      <w:pPr>
        <w:spacing w:before="0" w:after="20"/>
      </w:pPr>
      <w:r>
        <w:rPr>
          <w:b/>
        </w:rPr>
        <w:t xml:space="preserve">Data &amp; Analytics: </w:t>
      </w:r>
      <w:r>
        <w:t>SQL, Power BI, K/10-Q report analysis, Data lineage, Data governance, KPI dashboarding</w:t>
      </w:r>
    </w:p>
    <w:p>
      <w:pPr>
        <w:spacing w:before="0" w:after="20"/>
      </w:pPr>
      <w:r>
        <w:rPr>
          <w:b/>
        </w:rPr>
        <w:t xml:space="preserve">Engineering &amp; ML: </w:t>
      </w:r>
      <w:r>
        <w:t>Python, Supervised learning, Generative modeling, Feature engineering, Cross-validation, TensorFlow, Scikit-learn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NHS performance data, applying SQL window functions to build a variance analysis framework that identified a 51-month consecutive crisis-status streak.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(0.90–0.95 ROC-AUC) to predict breach risk, integrating rolling 3-month compliance history to support financial decision enablement.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interactive Power BI dashboard surfacing KPIs and seasonality heatmaps, replacing static reporting with real-time, self-service analytics for 100% of performance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Established data governance by classifying 100% of monthly records as On Target/Warning/Crisis, ensuring auditability of performance metrics against the 95% target.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Human-in-the-loop (HITL) quality-gate loop that re-scores AI-generated content against an 85% ATS match threshold, ensuring 100% of outputs meet quality standards.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Operationalised MLOps practices including multi-model failover and automated retraining triggers to maintain 24/7 system reliability on Oracle Cloud.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validate data lineage and pipeline stability, ensuring 0% regression in automated workflows.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on 2,700+ images, achieving 98.84% accuracy—a +16% improvement over baseline architectures—using Explainable AI (XAI) techniques to visualize feature importance.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robustness, maintaining strict data governance over training/validation splits to prevent bias.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advanced data modelling to surface financial KPIs, enabling data-driven decision making for academic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rigorous feature engineering and model selection to optimize predictive performance.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