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NLP, Transformer architectures, and scalable machine learning pipelines. Proven track record in developing high-accuracy deep learning models and deploying production-grade data enrichment systems on cloud infrastructure.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NLP: </w:t>
      </w:r>
      <w:r>
        <w:t>Natural Language Processing, Transformer architecture, Tokenization, Named Entity Recognition, Sentiment analysis, Fine-tuning, Transfer learning, TensorFlow, PyTorch, Scikit-learn</w:t>
      </w:r>
    </w:p>
    <w:p>
      <w:pPr>
        <w:spacing w:before="0" w:after="20"/>
      </w:pPr>
      <w:r>
        <w:rPr>
          <w:b/>
        </w:rPr>
        <w:t xml:space="preserve">GenAI &amp; Engineering: </w:t>
      </w:r>
      <w:r>
        <w:t>Python, Prompt engineering, Retrieval-augmented generation (RAG), LLM API integration, SQL, Pandas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Docker, Kubernetes, Terraform, AWS, Azure, Oracle Cloud, Vercel,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Random Forest classifier to predict monthly breach risk with 0.90–0.95 ROC-AUC, identifying seasonality and compliance history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complex NLP-adjacent data processing on 188 months of unstructured performance reports, utilizing SQL window functions and CTEs to classify trends and identify long-term crisis streaks.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deep learning pipeline for wildfire detection, utilizing DenseNet-based CNNs to achieve 98.84% accuracy, 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advanced preprocessing techniques including Multi-Scale Retinex and data augmentation to handle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generalizability across high-resolution image datasets.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cross-validation techniques.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