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specializing in agentic LLM pipelines, RAG architectures, and production-ready MLOps. Proven track record of delivering scalable, enterprise-grade AI solutions that optimize business processes through rigorous performance monitoring and system integration.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Agentic workflows, LLM-based solutions, RAG pipelines, Prompt engineering, Model evaluation, CNNs (DenseNet), Scikit-learn</w:t>
      </w:r>
    </w:p>
    <w:p>
      <w:pPr>
        <w:spacing w:before="0" w:after="20"/>
      </w:pPr>
      <w:r>
        <w:rPr>
          <w:b/>
        </w:rPr>
        <w:t xml:space="preserve">Engineering &amp; MLOps: </w:t>
      </w:r>
      <w:r>
        <w:t>Python, SQL, MLflow, GitHub Actions, pytest, API integration, AWS, Oracle Cloud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Data pipelines, Feature engineering, Vector databases (Pinecone/Chroma), Power BI,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high-performance analytics pipeline to investigate 188 months of NHS performance data, identifying critical bottlenecks in 4-hour target compliance to support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advanced SQL window functions and CTEs to classify performance trends, reducing data processing latency and enabling real-time monitoring of A&amp;E wait-time spikes.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integrating feature engineering to provide actionable insights for resource allocation and process optimization.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ML pipeline for early wildfire detection, achieving 98.84% accuracy and a 16% improvement over baseline models through rigorous hyperparameter tuning.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deployment for production environments by applying GridSearchCV and cross-validation, ensuring system reliability and compliance with enterprise-grade performance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to surface KPIs, supporting data-driven decision-making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