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June 2026</w:t>
      </w:r>
    </w:p>
    <w:p>
      <w:pPr>
        <w:spacing w:before="0" w:after="160" w:line="276" w:lineRule="auto"/>
      </w:pPr>
      <w:r>
        <w:rPr>
          <w:sz w:val="21"/>
        </w:rPr>
        <w:t>The shift toward agentic workflows and RAG-based systems is fundamentally changing how enterprises approach decision-making. I am writing to apply for the Data Scientist position at Nicholson Glover because your focus on deploying scalable, intelligent agents for sectors like banking and utilities aligns perfectly with my technical background and professional interests.</w:t>
      </w:r>
    </w:p>
    <w:p>
      <w:pPr>
        <w:spacing w:before="0" w:after="160" w:line="276" w:lineRule="auto"/>
      </w:pPr>
      <w:r>
        <w:rPr>
          <w:sz w:val="21"/>
        </w:rPr>
        <w:t>During my MSc in Computer Science, I focused on building robust, production-ready AI. My most recent project involved architecting an end-to-end agentic pipeline that automates complex data processing. By implementing a quality-gate loop and multi-model failover, I ensured the system maintained high reliability, processing 50+ job postings per run and achieving an 85% success rate in automated tailoring. This experience taught me how to translate technical requirements into scalable solutions that provide immediate, measurable value.</w:t>
      </w:r>
    </w:p>
    <w:p>
      <w:pPr>
        <w:spacing w:before="0" w:after="160" w:line="276" w:lineRule="auto"/>
      </w:pPr>
      <w:r>
        <w:rPr>
          <w:sz w:val="21"/>
        </w:rPr>
        <w:t>Beyond my technical work in Python and LLM integration, I have developed a strong foundation in predictive analytics and data visualization. Whether it is achieving 98.84% accuracy on image classification models or building interactive Power BI dashboards to surface KPIs, I prioritize clarity and impact. I am comfortable engaging with stakeholders to ensure that the models I build are not just technically sound, but also directly address the business challenges they were designed to solve.</w:t>
      </w:r>
    </w:p>
    <w:p>
      <w:pPr>
        <w:spacing w:before="0" w:after="160" w:line="276" w:lineRule="auto"/>
      </w:pPr>
      <w:r>
        <w:rPr>
          <w:sz w:val="21"/>
        </w:rPr>
        <w:t>I am eager to bring my experience with agentic workflows and enterprise-grade deployment to Nicholson Glover. I am confident that my ability to bridge the gap between complex AI research and practical, client-facing applications will allow me to contribute to your team’s success immediately.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