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AI Engineer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AI Engineer specializing in the design and deployment of production-grade agentic LLM pipelines, RAG systems, and REST API development. Expert in integrating foundation models via API, implementing Model Context Protocol (MCP) servers, and building robust prompt engineering frameworks for enterprise-level reliability. Proven track record of delivering scalable AI solutions, including a production LLM pipeline with 121 automated tests and multi-model failover, achieving a 16% performance gain over baseline architectures.</w:t>
      </w:r>
    </w:p>
    <w:p>
      <w:pPr>
        <w:keepNext/>
        <w:spacing w:before="200" w:after="40"/>
        <w:pBdr>
          <w:bottom w:val="single" w:sz="6" w:space="1" w:color="808080"/>
        </w:pBdr>
      </w:pPr>
      <w:r>
        <w:rPr>
          <w:b/>
          <w:sz w:val="22"/>
        </w:rPr>
        <w:t>CORE SKILLS</w:t>
      </w:r>
    </w:p>
    <w:p>
      <w:pPr>
        <w:spacing w:before="0" w:after="20"/>
      </w:pPr>
      <w:r>
        <w:rPr>
          <w:b/>
        </w:rPr>
        <w:t xml:space="preserve">Machine Learning: </w:t>
      </w:r>
      <w:r>
        <w:t>Agentic LLM pipelines, Retrieval-Augmented Generation (RAG), Model Context Protocol (MCP), Foundation models, Prompt engineering, CNNs (DenseNet), Model evaluation</w:t>
      </w:r>
    </w:p>
    <w:p>
      <w:pPr>
        <w:spacing w:before="0" w:after="20"/>
      </w:pPr>
      <w:r>
        <w:rPr>
          <w:b/>
        </w:rPr>
        <w:t xml:space="preserve">Languages: </w:t>
      </w:r>
      <w:r>
        <w:t>Python, SQL, JavaScript, TypeScript</w:t>
      </w:r>
    </w:p>
    <w:p>
      <w:pPr>
        <w:spacing w:before="0" w:after="20"/>
      </w:pPr>
      <w:r>
        <w:rPr>
          <w:b/>
        </w:rPr>
        <w:t xml:space="preserve">Engineering &amp; Cloud: </w:t>
      </w:r>
      <w:r>
        <w:t>REST API development, Microservices, OAuth/Credential management, Oracle Cloud, AWS S3, Azure, Vercel</w:t>
      </w:r>
    </w:p>
    <w:p>
      <w:pPr>
        <w:spacing w:before="0" w:after="20"/>
      </w:pPr>
      <w:r>
        <w:rPr>
          <w:b/>
        </w:rPr>
        <w:t xml:space="preserve">Data &amp; BI: </w:t>
      </w:r>
      <w:r>
        <w:t>Pandas, NumPy, Power BI, Tableau, Advanced Excel</w:t>
      </w:r>
    </w:p>
    <w:p>
      <w:pPr>
        <w:spacing w:before="0" w:after="20"/>
      </w:pPr>
      <w:r>
        <w:rPr>
          <w:b/>
        </w:rPr>
        <w:t xml:space="preserve">Tools &amp; Methods: </w:t>
      </w:r>
      <w:r>
        <w:t>pytest, Web scraping, System documentation, AI governance frameworks</w:t>
      </w:r>
    </w:p>
    <w:p>
      <w:pPr>
        <w:keepNext/>
        <w:spacing w:before="200" w:after="40"/>
        <w:pBdr>
          <w:bottom w:val="single" w:sz="6" w:space="1" w:color="808080"/>
        </w:pBdr>
      </w:pPr>
      <w:r>
        <w:rPr>
          <w:b/>
          <w:sz w:val="22"/>
        </w:rPr>
        <w:t>CORE COMPETENCIES</w:t>
      </w:r>
    </w:p>
    <w:p>
      <w:pPr>
        <w:spacing w:before="0" w:after="40"/>
      </w:pPr>
      <w:r>
        <w:t>Model Context Protocol (MCP) development  ·  Enterprise OAuth/Credential management  ·  EU AI Act &amp; AI governance compliance  ·  Security clearance (willingness to undergo vetting)  ·  Agentic workflow orchestration  ·  Production-grade reliability engineering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Deployed 24/7 production LLM pipeline with 121 automated tests and multi-model failover.</w:t>
      </w:r>
    </w:p>
    <w:p>
      <w:pPr>
        <w:pStyle w:val="ListBullet"/>
        <w:spacing w:before="0" w:after="40"/>
        <w:ind w:left="360"/>
      </w:pPr>
      <w:r/>
      <w:r>
        <w:rPr>
          <w:sz w:val="21"/>
        </w:rPr>
        <w:t>Achieved 98.84% accuracy on wildfire detection, outperforming baseline architectures by 16%.</w:t>
      </w:r>
    </w:p>
    <w:p>
      <w:pPr>
        <w:pStyle w:val="ListBullet"/>
        <w:spacing w:before="0" w:after="40"/>
        <w:ind w:left="360"/>
      </w:pPr>
      <w:r/>
      <w:r>
        <w:rPr>
          <w:sz w:val="21"/>
        </w:rPr>
        <w:t>Automated processing of 50+ job postings per run with 85% ATS match threshold success.</w:t>
      </w:r>
    </w:p>
    <w:p>
      <w:pPr>
        <w:pStyle w:val="ListBullet"/>
        <w:spacing w:before="0" w:after="40"/>
        <w:ind w:left="360"/>
      </w:pPr>
      <w:r/>
      <w:r>
        <w:rPr>
          <w:sz w:val="21"/>
        </w:rPr>
        <w:t>Built interactive BI dashboards surfacing KPIs for data-driven decision-making.</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Developed an end-to-end Python pipeline scraping ~50 job postings per run, integrating Google Gemini LLMs via API to score, rank, and auto-tailor resumes.</w:t>
      </w:r>
    </w:p>
    <w:p>
      <w:pPr>
        <w:pStyle w:val="ListBullet"/>
        <w:spacing w:before="0" w:after="40"/>
        <w:ind w:left="360"/>
      </w:pPr>
      <w:r/>
      <w:r>
        <w:rPr>
          <w:sz w:val="21"/>
        </w:rPr>
        <w:t>Engineered an agentic quality-gate loop and prompt engineering framework that iterates outputs until clearing an 85% ATS match threshold.</w:t>
      </w:r>
    </w:p>
    <w:p>
      <w:pPr>
        <w:pStyle w:val="ListBullet"/>
        <w:spacing w:before="0" w:after="40"/>
        <w:ind w:left="360"/>
      </w:pPr>
      <w:r/>
      <w:r>
        <w:rPr>
          <w:sz w:val="21"/>
        </w:rPr>
        <w:t>Implemented production-grade reliability patterns including rate-limiting, exponential-backoff retries, and multi-model failover to ensure system stability.</w:t>
      </w:r>
    </w:p>
    <w:p>
      <w:pPr>
        <w:pStyle w:val="ListBullet"/>
        <w:spacing w:before="0" w:after="40"/>
        <w:ind w:left="360"/>
      </w:pPr>
      <w:r/>
      <w:r>
        <w:rPr>
          <w:sz w:val="21"/>
        </w:rPr>
        <w:t>Authored 121 automated unit tests using pytest to validate system behaviour, ensuring traceable, reliable outputs and enterprise-level documentation.</w:t>
      </w:r>
    </w:p>
    <w:p>
      <w:pPr>
        <w:pStyle w:val="ListBullet"/>
        <w:spacing w:before="0" w:after="40"/>
        <w:ind w:left="360"/>
      </w:pPr>
      <w:r/>
      <w:r>
        <w:rPr>
          <w:sz w:val="21"/>
        </w:rPr>
        <w:t>Deployed as a 24/7 microservice on an Oracle Cloud VM, incorporating secure API integration practices and credential management.</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early wildfire detection using DenseNet-based CNNs on 2,700+ high-resolution images, achieving 98.84% accuracy — a +16% improvement over baseline architectures.</w:t>
      </w:r>
    </w:p>
    <w:p>
      <w:pPr>
        <w:pStyle w:val="ListBullet"/>
        <w:spacing w:before="0" w:after="40"/>
        <w:ind w:left="360"/>
      </w:pPr>
      <w:r/>
      <w:r>
        <w:rPr>
          <w:sz w:val="21"/>
        </w:rPr>
        <w:t>Applied GridSearchCV and cross-validation to ensure robust performance, while documenting system behaviour and data flows to meet transparency and AI governance standards.</w:t>
      </w:r>
    </w:p>
    <w:p>
      <w:pPr>
        <w:pStyle w:val="ListBullet"/>
        <w:spacing w:before="0" w:after="40"/>
        <w:ind w:left="360"/>
      </w:pPr>
      <w:r/>
      <w:r>
        <w:rPr>
          <w:sz w:val="21"/>
        </w:rPr>
        <w:t>Addressed class imbalance and brightness variation using data augmentation and Multi-Scale Retinex preprocessing to ensure reliable model outputs.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region-based trends for business decision-making.</w:t>
      </w:r>
    </w:p>
    <w:p>
      <w:pPr>
        <w:pStyle w:val="ListBullet"/>
        <w:spacing w:before="0" w:after="40"/>
        <w:ind w:left="360"/>
      </w:pPr>
      <w:r/>
      <w:r>
        <w:rPr>
          <w:sz w:val="21"/>
        </w:rPr>
        <w:t>Executed reproducible ML experiments with Scikit-learn, applying feature engineering and model selection best practices to ensure high-quality, trusted data inputs.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