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proven track record of delivering end-to-end AI/ML projects. Expert in designing scalable AI workflows using Python, TensorFlow, scikit-learn, and Google Gemini API to enhance enterprise processes. Successfully deployed agentic pipelines and high-performing CNN models, achieving 98.84% accuracy in production environments. Committed to building reliable, high-impact solutions that translate complex business requirements into technical reality.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CNNs (DenseNet), statistical modelling,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Google Cloud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prompt engineering, LLM API integration,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AI/ML frameworks  ·  agent-based architectures  ·  RAG-driven architectures  ·  prompt-engineering  ·  statistical modelling  ·  end-to-end AI/ML projects  ·  data structures  ·  algorithms  ·  model design  ·  performance optimisation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DenseNet-based CNNs for early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 for agentic AI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an end-to-end Python pipeline that scrapes ~50 job postings per run, utilising Google Gemini LLMs for prompt-engineering and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every output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system reliability by implementing exponential-backoff retries, multi-model failover, and content-based deduplication for high-performing AI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production-ready solution with 121 automated unit tests using pytest, deployed 24/7 on an Oracle Cloud VM.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high-performing ML model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 to address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statistical modelling and model design,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translate business requirements into technical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