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(Gen AI)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(Gen AI) with a Distinction-grade MSc in Computer Science and hands-on experience architecting agentic workflows and RAG-based LLM pipelines for enterprise-grade deployments. Expert in predictive analytics and scalable AI solutions, with a proven track record of translating complex business challenges into intelligent, client-facing applications. Delivered a 98.84% accuracy rate in high-stakes image classification, achieving a 16% performance gain over baseline architectures.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agentic workflows, RAG frameworks, predictive analytics, TensorFlow, Keras, CNNs (DenseNet), cross-validation, model evaluation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Next.js, React, Node.js, Tailwind CSS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workflows  ·  RAG frameworks  ·  predictive analytics  ·  enterprise AI deployment  ·  client-facing stakeholder management  ·  asset management &amp; banking sector applications  ·  automated unit tests  · 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Python pipeline processing ~50 job postings per run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data insights and financial chatbot prototypes for simulated enterprise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end-to-end agentic workflow in Python that scrapes ~50 job postings per run, utilizing LLM API integration to score and rank matches for enterprise-level efficiency.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iterating until achieving an 85% ATS match threshold before automated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multi-model failover, and content-based deduplication to support scalable AI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pipeline stability and generated ATS-clean .docx files programmatically.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agentic solution on an Oracle Cloud VM, integrated with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machine learning pipeline for predictive analytics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accuracy, representing a +16% improvement over baseline architectures through rigorous model evaluation.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performance by addressing class imbalance and brightness variation via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robust predictive analytics, visualizing performance metrics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modelling to surface KPIs and region-based trends for business decision-making, mirroring requirements for retail and supply chain sectors.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advanced feature engineering and model selection best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foundational knowledge in RAG frameworks (LangChain/LlamaIndex) to support future enterprise-grade agentic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