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specializing in Machine Learning, NLP, and Large Language Models (LLMs). Expert in building end-to-end agentic pipelines and fine-tuning pre-trained models to drive business impact through audit and risk assessment analytics. Proven track record of delivering high-accuracy solutions, including a 98.84% accurate wildfire detection system and automated LLM-based pipelines, with a strong foundation in hypothesis testing and financial data analysis. Achieved 98.84% accuracy in deep learning classification, outperforming baseline architectures by +16%.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regression, classification, decision trees, SVMs, fine-tuning pre-trained models, TensorFlow, Keras, CNNs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data wrangling, Power BI, Tableau, Advanced Excel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Large Language Models, LLMs, NLP, Agile, hypothesis testing,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audit and risk assessment  ·  fine-tuning pre-trained models  ·  hypothesis testing  ·  decision trees and SVMs  ·  enterprise-level compliance frameworks  ·  data wrangling  ·  predictive modelling  ·  agentic pipelines  ·  model evaluation  ·  cross-validation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 (+16% over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,700+ high-resolution images processed for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ATS match threshold achieved via agentic quality-gate loops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+ job postings analyzed per run for automated decision-making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Large Language Models to perform classification and risk assessment for audit-style review.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via fine-tuning pre-trained models to ensure outputs meet an 85% ATS match threshold, mirroring enterprise-level compliance frameworks.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 to manage competing priorities.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programmatically; authored 121 automated unit tests (pytest) to ensure pipeline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GridSearchCV, cross-validation, and hypothesis testing to validate model robustness, ensuring high-confidence insights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data anomalies using Multi-Scale Retinex preprocessing and data augmentation to improve classification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with Matplotlib/Seaborn to communicate complex technical findings effectively to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to assist stakeholders in risk assessments.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(including regression and classification) to identify key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foundational knowledge in decision trees and SVMs through academic coursework to support predictive modelling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