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professional committed to delivering empathetic patient-focused support and maintaining strict confidentiality within NHS operational procedures. Proven ability to manage high-pressure service desk environments by prioritising incident resolution, clear communication, and adherence to clinical IM&amp;T standards.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Incident Management: </w:t>
      </w:r>
      <w:r>
        <w:t>SLA/OLA Standards, Incident Management, High-Volume Call Centre Operations, User Account Management, GP Connections, ITIL Service Management</w:t>
      </w:r>
    </w:p>
    <w:p>
      <w:pPr>
        <w:spacing w:before="0" w:after="20"/>
      </w:pPr>
      <w:r>
        <w:rPr>
          <w:b/>
        </w:rPr>
        <w:t xml:space="preserve">Technical Infrastructure: </w:t>
      </w:r>
      <w:r>
        <w:t>Windows 10/11, Active Directory/Entra ID, VPN Configuration, Hardware/Software Troubleshooting, IM&amp;T Systems, Networking</w:t>
      </w:r>
    </w:p>
    <w:p>
      <w:pPr>
        <w:spacing w:before="0" w:after="20"/>
      </w:pPr>
      <w:r>
        <w:rPr>
          <w:b/>
        </w:rPr>
        <w:t xml:space="preserve">Tools &amp; Collaboration: </w:t>
      </w:r>
      <w:r>
        <w:t>Microsoft 365, Power BI, SharePoint, SQL,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