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Dear Playfair team,</w:t>
      </w:r>
    </w:p>
    <w:p>
      <w:pPr>
        <w:spacing w:before="0" w:after="160" w:line="276" w:lineRule="auto"/>
      </w:pPr>
      <w:r>
        <w:rPr>
          <w:sz w:val="21"/>
        </w:rPr>
        <w:t>Your focus on pre-seed investing and the impressive 78% graduation rate of your portfolio companies—such as Nory and StackOne—demonstrates a level of discipline that is rare in the venture ecosystem. I am drawn to your mission of bringing depth of thought to the European startup landscape, and I am eager to contribute to that mission by building the internal tools that will define your fourth fund.</w:t>
      </w:r>
    </w:p>
    <w:p>
      <w:pPr>
        <w:spacing w:before="0" w:after="160" w:line="276" w:lineRule="auto"/>
      </w:pPr>
      <w:r>
        <w:rPr>
          <w:sz w:val="21"/>
        </w:rPr>
        <w:t>My background is rooted in building production-grade AI systems. Recently, I shipped an end-to-end agentic pipeline that automates complex document tailoring, utilizing multi-model failover and quality-gate loops to ensure high-quality output. I am comfortable working with LLM APIs and designing workflows that remove repetitive tasks, much like the ones you face daily in deal sourcing and qualification. My experience deploying a 24/7 Telegram bot on Oracle Cloud, backed by 121 automated unit tests, reflects my commitment to shipping reliable, functional tools rather than just theoretical projects.</w:t>
      </w:r>
    </w:p>
    <w:p>
      <w:pPr>
        <w:spacing w:before="0" w:after="160" w:line="276" w:lineRule="auto"/>
      </w:pPr>
      <w:r>
        <w:rPr>
          <w:sz w:val="21"/>
        </w:rPr>
        <w:t>I am particularly excited about the opportunity to sit inside your investment team in Farringdon. I want to understand the nuances of how you pick winners and build tools that allow you to move faster and with more precision. I am a builder at heart, and I am ready to iterate on v1 tools that provide immediate value to your partners.</w:t>
      </w:r>
    </w:p>
    <w:p>
      <w:pPr>
        <w:spacing w:before="0" w:after="160" w:line="276" w:lineRule="auto"/>
      </w:pPr>
      <w:r>
        <w:rPr>
          <w:sz w:val="21"/>
        </w:rPr>
        <w:t>I would welcome the chance to discuss how my technical background in agentic workflows can help Playfair continue to back the best founders in Europe. Please let me know if you have time for a brief chat.</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