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The AA team,</w:t>
      </w:r>
    </w:p>
    <w:p>
      <w:pPr>
        <w:spacing w:before="0" w:after="160" w:line="276" w:lineRule="auto"/>
      </w:pPr>
      <w:r>
        <w:rPr>
          <w:sz w:val="21"/>
        </w:rPr>
        <w:t>Joining The AA at this pivotal moment in your AI journey is an exciting prospect. As a motoring organisation that has successfully evolved for over a century, your commitment to modernising services through an AI Centre of Excellence resonates with my own focus on building production-ready, intelligent solutions. I am particularly drawn to your ambition to create AI products that provide meaningful value to your millions of members and frontline teams.</w:t>
      </w:r>
    </w:p>
    <w:p>
      <w:pPr>
        <w:spacing w:before="0" w:after="160" w:line="276" w:lineRule="auto"/>
      </w:pPr>
      <w:r>
        <w:rPr>
          <w:sz w:val="21"/>
        </w:rPr>
        <w:t>In my recent work, I designed and deployed an agentic LLM pipeline that operates 24/7, handling complex tasks like multi-model failover and automated quality-gate loops. By integrating 121 automated tests and rigorous monitoring, I ensured the system remained reliable and scalable. This experience in bridging the gap between a proof-of-concept and a production-ready application is exactly what I aim to bring to your team. Whether it is refining prompt engineering for Large Language Models or ensuring the backend architecture is robust, I focus on the intersection of technical excellence and business outcomes.</w:t>
      </w:r>
    </w:p>
    <w:p>
      <w:pPr>
        <w:spacing w:before="0" w:after="160" w:line="276" w:lineRule="auto"/>
      </w:pPr>
      <w:r>
        <w:rPr>
          <w:sz w:val="21"/>
        </w:rPr>
        <w:t>Beyond the code, I value the collaborative nature of AI engineering. My experience includes presenting complex technical findings to stakeholders and iterating on designs based on user needs. I am comfortable challenging assumptions to ensure that the AI solutions we build are not only technically sound but also responsible and transparent. I am eager to apply this mindset to the diverse challenges faced by your COO and the wider organisation.</w:t>
      </w:r>
    </w:p>
    <w:p>
      <w:pPr>
        <w:spacing w:before="0" w:after="160" w:line="276" w:lineRule="auto"/>
      </w:pPr>
      <w:r>
        <w:rPr>
          <w:sz w:val="21"/>
        </w:rPr>
        <w:t>I would appreciate the opportunity to learn more about the specific AI initiatives you are prioritising and how my background in Python and cloud-native development can contribute to your success.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