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10 June 2026</w:t>
      </w:r>
    </w:p>
    <w:p>
      <w:pPr>
        <w:spacing w:before="0" w:after="160" w:line="276" w:lineRule="auto"/>
      </w:pPr>
      <w:r>
        <w:rPr>
          <w:sz w:val="21"/>
        </w:rPr>
        <w:t>I am writing to apply for the Data Scientist position at Coefficient. Having built a production-grade agentic LLM pipeline that handles 24/7 operations and 121 automated tests, I resonate deeply with your philosophy that agentic coding is a critical, emerging discipline. My work involves not just building models, but ensuring they are production-ready through rigorous LLMOps, evaluation, and spec-driven development.</w:t>
      </w:r>
    </w:p>
    <w:p>
      <w:pPr>
        <w:spacing w:before="0" w:after="160" w:line="276" w:lineRule="auto"/>
      </w:pPr>
      <w:r>
        <w:rPr>
          <w:sz w:val="21"/>
        </w:rPr>
        <w:t>In my recent project, I engineered an agentic quality-gate loop that iterates AI-generated content to meet an 85% ATS match threshold. This required a deep understanding of the Python Open Data Science Stack, prompt engineering, and the ability to drive agents through complex tasks using tools like Claude Code and Cursor. I am comfortable working with vector databases and frontier model APIs, and I prioritize measuring quality—such as faithfulness and hallucination rates—over simply shipping features.</w:t>
      </w:r>
    </w:p>
    <w:p>
      <w:pPr>
        <w:spacing w:before="0" w:after="160" w:line="276" w:lineRule="auto"/>
      </w:pPr>
      <w:r>
        <w:rPr>
          <w:sz w:val="21"/>
        </w:rPr>
        <w:t>Beyond the technical, I enjoy the collaborative nature of data science. Whether it is presenting findings to academic stakeholders or building interactive dashboards in Power BI, I focus on clear communication and delivering actionable insights. I am eager to bring this blend of engineering rigor and analytical curiosity to your team, particularly as you continue to deliver transformative solutions for your diverse client base.</w:t>
      </w:r>
    </w:p>
    <w:p>
      <w:pPr>
        <w:spacing w:before="0" w:after="160" w:line="276" w:lineRule="auto"/>
      </w:pPr>
      <w:r>
        <w:rPr>
          <w:sz w:val="21"/>
        </w:rPr>
        <w:t>I have full right to work in the UK and am available to travel to London for on-site collaboration. I would welcome the opportunity to discuss how my experience with agentic workflows and production-grade AI systems can support Coefficient’s mission.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