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Artificial Intelligence Engineer with an MSc in Computer Science (Distinction) and hands-on experience building production-grade AI systems. Proficient in Python, TensorFlow, and LLM integration, with a proven track record of deploying agentic pipelines and deep learning models. Successfully engineered a production LLM pipeline with 121 automated tests and a DenseNet CNN achieving 98.84% accuracy. Committed to developing scalable AI solutions and optimizing model performance through rigorous evaluation and continuous improvement.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model evaluation, cross-validation, neural networks</w:t>
      </w:r>
    </w:p>
    <w:p>
      <w:pPr>
        <w:spacing w:before="0" w:after="20"/>
      </w:pPr>
      <w:r>
        <w:rPr>
          <w:b/>
        </w:rPr>
        <w:t xml:space="preserve">GenAI &amp; LLMs: </w:t>
      </w:r>
      <w:r>
        <w:t>LLMs, agentic pipelines, prompt engineering, LLM API integration, Google Gemini API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AWS S3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Power BI, Tableau,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Artificial Intelligence  ·  Machine learning models  ·  Production environments  ·  End-to-end AI pipelines  ·  Model evaluation  ·  Prompt engineering  ·  Deep learning  ·  Computer Science  ·  Data analysis  ·  Cloud platforms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LLM pipeline featuring 121 automated unit tests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 with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AI services on cloud infrastructure using Oracle Cloud and Vercel.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Python pipeline that scrapes ~50 job postings per run, utilizing LLMs to score and rank candidates.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production-ready reliability through multi-model failover, exponential-backoff retries,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AI service on an Oracle Cloud VM with a responsive dashboard on Vercel to support real-world application workflows.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deep learning pipeline for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through rigorous model evaluation.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presented findings to academic stakeholders.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to surface KPIs and trends, supporting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