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(Distinction) and a strong foundation in predictive modeling and machine learning. Expert in building end-to-end ML pipelines, feature engineering, and deploying scalable models using Python, Scikit-learn, and TensorFlow. Proven ability to transform noisy, real-time data into actionable insights, evidenced by a 98.84% accuracy rate in complex classification tasks. Committed to applying rigorous data analysis and AI-driven decisioning to optimize credit risk and financial product performance at Abound.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 (DenseNet), model evaluation, cross-validation, feature engineering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web scraping,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modeling  ·  Feature engineering  ·  Machine learning development  ·  Data analysis  ·  Cross-functional collaboration  ·  Model evaluation  ·  Real-time data processing  ·  Financial technology  ·  Quantitative analysis  ·  Automated decisioning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pipeline processing ~50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rule-based financial chatbot in Python to extract insights from 10-K/10-Q reports.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r>
        <w:rPr>
          <w:b/>
        </w:rPr>
        <w:t>GenAI Job-Application Automation Platform — Personal Project (Live) 2026</w:t>
      </w:r>
    </w:p>
    <w:p>
      <w:pPr>
        <w:spacing w:before="0" w:after="40"/>
      </w:pPr>
      <w:r>
        <w:rPr>
          <w:sz w:val="20"/>
        </w:rPr>
        <w:t>End-to-end agentic LLM pipeline | Python, Gemini API, Next.js, Oracle Cloud, Telegram Bot API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applying feature engineering to score and rank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to ensure an 85% match threshold, mirroring the rigor required for automated lending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multi-model failover, and content-based deduplication to ensure 24/7 system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code quality and system stability.</w:t>
      </w:r>
    </w:p>
    <w:p>
      <w:r>
        <w:rPr>
          <w:b/>
        </w:rPr>
        <w:t>Wildfire Detection System — MSc Project 2024 – 2025</w:t>
      </w:r>
    </w:p>
    <w:p>
      <w:pPr>
        <w:spacing w:before="0" w:after="40"/>
      </w:pPr>
      <w:r>
        <w:rPr>
          <w:sz w:val="20"/>
        </w:rPr>
        <w:t>Deep learning image classification | TensorFlow, Keras, DenseNet, OpenCV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classification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reliability in high-stakes classification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data noise and variation using Multi-Scale Retinex preprocessing and data augmentation techniques.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results and model performance metrics to academic stakeholders to support data-driven conclusions.</w:t>
      </w:r>
    </w:p>
    <w:p>
      <w:r>
        <w:rPr>
          <w:b/>
        </w:rPr>
        <w:t>EDA &amp; BI Dashboarding — Academic Projects 2023 – 2024</w:t>
      </w:r>
    </w:p>
    <w:p>
      <w:pPr>
        <w:spacing w:before="0" w:after="40"/>
      </w:pPr>
      <w:r>
        <w:rPr>
          <w:sz w:val="20"/>
        </w:rPr>
        <w:t>Data analysis and reporting | Power BI, Scikit-learn, Pandas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to optimize predictive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