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an MSc in Computer Science and a focus on building scalable, agentic Generative AI solutions. Proficient in Python, TypeScript, and cloud-based LLM orchestration, with hands-on experience deploying production-grade agentic pipelines and multi-model failover systems. Proven ability to translate complex business requirements into technical deliverables, including automated workflows and high-accuracy machine learning models. Committed to developing secure, audit-ready AI applications that align with enterprise governance and performance standards.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Generative AI, LLM, agentic pipelines, prompt engineering, RAG architectures, TensorFlow, Scikit-learn</w:t>
      </w:r>
    </w:p>
    <w:p>
      <w:pPr>
        <w:spacing w:before="0" w:after="20"/>
      </w:pPr>
      <w:r>
        <w:rPr>
          <w:b/>
        </w:rPr>
        <w:t xml:space="preserve">Languages: </w:t>
      </w:r>
      <w:r>
        <w:t>Python, TypeScript, Node.js, SQL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AWS, Oracle Cloud, Vercel, Azure, CI/CD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Git, API integration, data modelling,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AI-powered workflows  ·  enterprise systems  ·  technical requirements  ·  success metrics  ·  AI governance  ·  audit-ready standards  ·  multi-agent systems  ·  observability  ·  cross-functional collaboration  ·  risk and compliance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tests, ensuring 85% ATS match threshold compliance.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extraction from ~50 job postings per run, streamlining recruitment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24/7 production services on cloud infrastructure with multi-model failover.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integrated an end-to-end agentic LLM pipeline that automates job application workflows, processing ~50 job postings per run to identify high-value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AI-generated content to ensure it meets an 85% ATS match threshold, maintaining audit-ready standards for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exponential-backoff retries, and content-based deduplication to ensure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performance and ensure consistency across enterprise-grade deployment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Oracle Cloud with a responsive Next.js dashboard, monitoring performance and usage trends for continuous optimisation.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high-accuracy ML pipeline for wildfire detection using DenseNet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data augmentation and Multi-Scale Retinex preprocessing to address class imbalance and environmental variation, ensuring robust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findings and success metrics to academic stakeholders, translating complex model evaluation results into actionable insights.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regional trends, supporting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meet project requirements.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