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Scientist with an MSc in Computer Science specializing in production-ready machine learning, NLP, and generative AI systems. Expert in building agentic LLM pipelines and deep learning architectures using Python, PyTorch, and TensorFlow to extract insights from complex datasets. Proven ability to design scalable data pipelines and integrate knowledge-based techniques to support scientific discovery. Delivered a 98.84% accuracy rate in high-stakes classification, demonstrating a commitment to rigorous model evaluation and production-grade reliability.</w:t>
      </w:r>
    </w:p>
    <w:p>
      <w:pPr>
        <w:keepNext/>
        <w:spacing w:before="200" w:after="40"/>
        <w:pBdr>
          <w:bottom w:val="single" w:sz="6" w:space="1" w:color="808080"/>
        </w:pBdr>
      </w:pPr>
      <w:r>
        <w:rPr>
          <w:b/>
          <w:sz w:val="22"/>
        </w:rPr>
        <w:t>CORE SKILLS</w:t>
      </w:r>
    </w:p>
    <w:p>
      <w:pPr>
        <w:spacing w:before="0" w:after="20"/>
      </w:pPr>
      <w:r>
        <w:rPr>
          <w:b/>
        </w:rPr>
        <w:t xml:space="preserve">Machine Learning: </w:t>
      </w:r>
      <w:r>
        <w:t>Machine learning, NLP, Deep learning, PyTorch, TensorFlow, Scikit-learn, Feature engineering, Model evaluation</w:t>
      </w:r>
    </w:p>
    <w:p>
      <w:pPr>
        <w:spacing w:before="0" w:after="20"/>
      </w:pPr>
      <w:r>
        <w:rPr>
          <w:b/>
        </w:rPr>
        <w:t xml:space="preserve">GenAI &amp; LLMs: </w:t>
      </w:r>
      <w:r>
        <w:t>Generative AI, LLMs, Google Gemini API, Prompt engineering, Agentic pipelines, Knowledge graphs, Ontologies, Taxonomies</w:t>
      </w:r>
    </w:p>
    <w:p>
      <w:pPr>
        <w:spacing w:before="0" w:after="20"/>
      </w:pPr>
      <w:r>
        <w:rPr>
          <w:b/>
        </w:rPr>
        <w:t xml:space="preserve">Languages: </w:t>
      </w:r>
      <w:r>
        <w:t>Python, SQL, TypeScript</w:t>
      </w:r>
    </w:p>
    <w:p>
      <w:pPr>
        <w:spacing w:before="0" w:after="20"/>
      </w:pPr>
      <w:r>
        <w:rPr>
          <w:b/>
        </w:rPr>
        <w:t xml:space="preserve">Data &amp; BI: </w:t>
      </w:r>
      <w:r>
        <w:t>Pandas, NumPy, Matplotlib, Seaborn, Power BI, Tableau</w:t>
      </w:r>
    </w:p>
    <w:p>
      <w:pPr>
        <w:spacing w:before="0" w:after="20"/>
      </w:pPr>
      <w:r>
        <w:rPr>
          <w:b/>
        </w:rPr>
        <w:t xml:space="preserve">Tools &amp; Methods: </w:t>
      </w:r>
      <w:r>
        <w:t>Production-ready, Data pipelines, pytest, Cross-validation, Web scraping, Oracle Cloud, AWS S3</w:t>
      </w:r>
    </w:p>
    <w:p>
      <w:pPr>
        <w:keepNext/>
        <w:spacing w:before="200" w:after="40"/>
        <w:pBdr>
          <w:bottom w:val="single" w:sz="6" w:space="1" w:color="808080"/>
        </w:pBdr>
      </w:pPr>
      <w:r>
        <w:rPr>
          <w:b/>
          <w:sz w:val="22"/>
        </w:rPr>
        <w:t>CORE COMPETENCIES</w:t>
      </w:r>
    </w:p>
    <w:p>
      <w:pPr>
        <w:spacing w:before="0" w:after="40"/>
      </w:pPr>
      <w:r>
        <w:t>Knowledge graphs  ·  Ontologies  ·  Taxonomies  ·  Large-scale scientific datasets  ·  Production-ready systems  ·  NLP  ·  Information retrieval  ·  Content classification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Engineered an agentic LLM pipeline with 121 automated unit tests to ensure 85% ATS match threshold.</w:t>
      </w:r>
    </w:p>
    <w:p>
      <w:pPr>
        <w:pStyle w:val="ListBullet"/>
        <w:spacing w:before="0" w:after="40"/>
        <w:ind w:left="360"/>
      </w:pPr>
      <w:r/>
      <w:r>
        <w:rPr>
          <w:sz w:val="21"/>
        </w:rPr>
        <w:t>Processed 2,700+ high-resolution images for deep learning classification using TensorFlow and Keras.</w:t>
      </w:r>
    </w:p>
    <w:p>
      <w:pPr>
        <w:pStyle w:val="ListBullet"/>
        <w:spacing w:before="0" w:after="40"/>
        <w:ind w:left="360"/>
      </w:pPr>
      <w:r/>
      <w:r>
        <w:rPr>
          <w:sz w:val="21"/>
        </w:rPr>
        <w:t>Automated the scraping and analysis of ~50 job postings per run to deliver tailored content.</w:t>
      </w:r>
    </w:p>
    <w:p>
      <w:pPr>
        <w:keepNext/>
        <w:spacing w:before="200" w:after="40"/>
        <w:pBdr>
          <w:bottom w:val="single" w:sz="6" w:space="1" w:color="808080"/>
        </w:pBdr>
      </w:pPr>
      <w:r>
        <w:rPr>
          <w:b/>
          <w:sz w:val="22"/>
        </w:rPr>
        <w:t>PROFESSIONAL EXPERIENCE</w:t>
      </w:r>
    </w:p>
    <w:p>
      <w:r>
        <w:rPr>
          <w:b/>
        </w:rPr>
        <w:t>GenAI Job-Application Automation Platform — Personal Project (Live)</w:t>
      </w:r>
    </w:p>
    <w:p>
      <w:pPr>
        <w:spacing w:before="0" w:after="40"/>
      </w:pPr>
      <w:r>
        <w:rPr>
          <w:sz w:val="20"/>
        </w:rPr>
        <w:t>End-to-end agentic LLM pipeline | Python, Gemini API, Next.js, Oracle Cloud</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 to ensure production-ready code quality.</w:t>
      </w:r>
    </w:p>
    <w:p>
      <w:pPr>
        <w:pStyle w:val="ListBullet"/>
        <w:spacing w:before="0" w:after="40"/>
        <w:ind w:left="360"/>
      </w:pPr>
      <w:r/>
      <w:r>
        <w:rPr>
          <w:sz w:val="21"/>
        </w:rPr>
        <w:t>Deployed 24/7 as a Telegram bot on an Oracle Cloud VM, with a responsive Next.js + Tailwind CSS dashboard on Vercel.</w:t>
      </w:r>
    </w:p>
    <w:p>
      <w:r>
        <w:rPr>
          <w:b/>
        </w:rPr>
        <w:t>Wildfire Detection System — MSc Project</w:t>
      </w:r>
    </w:p>
    <w:p>
      <w:pPr>
        <w:spacing w:before="0" w:after="40"/>
      </w:pPr>
      <w:r>
        <w:rPr>
          <w:sz w:val="20"/>
        </w:rPr>
        <w:t>Deep learning image classification | PyTorch, TensorFlow, Keras, DenseNet</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Developed foundational knowledge in structuring large-scale scientific datasets, applying data augmentation and Multi-Scale Retinex preprocessing to handle brightness variation.</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pStyle w:val="ListBullet"/>
        <w:spacing w:before="0" w:after="40"/>
        <w:ind w:left="360"/>
      </w:pPr>
      <w:r/>
      <w:r>
        <w:rPr>
          <w:sz w:val="21"/>
        </w:rPr>
        <w:t>Gained practical experience in PyTorch and TensorFlow, ensuring model evaluation metrics align with production-ready standards.</w:t>
      </w:r>
    </w:p>
    <w:p>
      <w:r>
        <w:rPr>
          <w:b/>
        </w:rPr>
        <w:t>EDA &amp; BI Dashboarding — Academic Projects</w:t>
      </w:r>
    </w:p>
    <w:p>
      <w:pPr>
        <w:spacing w:before="0" w:after="40"/>
      </w:pPr>
      <w:r>
        <w:rPr>
          <w:sz w:val="20"/>
        </w:rPr>
        <w:t>Data analysis and reporting | Power BI, Scikit-learn, Pandas</w:t>
      </w:r>
    </w:p>
    <w:p>
      <w:pPr>
        <w:pStyle w:val="ListBullet"/>
        <w:spacing w:before="0" w:after="40"/>
        <w:ind w:left="360"/>
      </w:pPr>
      <w:r/>
      <w:r>
        <w:rPr>
          <w:sz w:val="21"/>
        </w:rPr>
        <w:t>Built interactive Power BI dashboards (DAX, data modelling) surfacing KPIs and region-based trends for decision-making, incorporating principles of taxonomies and data categorization.</w:t>
      </w:r>
    </w:p>
    <w:p>
      <w:pPr>
        <w:pStyle w:val="ListBullet"/>
        <w:spacing w:before="0" w:after="40"/>
        <w:ind w:left="360"/>
      </w:pPr>
      <w:r/>
      <w:r>
        <w:rPr>
          <w:sz w:val="21"/>
        </w:rPr>
        <w:t>Ran reproducible ML experiments with Scikit-learn, applying feature engineering and model selection best practices to large-scale datasets.</w:t>
      </w:r>
    </w:p>
    <w:p>
      <w:pPr>
        <w:pStyle w:val="ListBullet"/>
        <w:spacing w:before="0" w:after="40"/>
        <w:ind w:left="360"/>
      </w:pPr>
      <w:r/>
      <w:r>
        <w:rPr>
          <w:sz w:val="21"/>
        </w:rPr>
        <w:t>Explored the integration of knowledge graphs and ontologies to improve data retrieval and semantic search capabilities in academic research contexts.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BCG GenAI Job Simulation — Forage — 2026</w:t>
      </w:r>
    </w:p>
    <w:p>
      <w:pPr>
        <w:pStyle w:val="ListBullet"/>
        <w:spacing w:before="0" w:after="40"/>
        <w:ind w:left="360"/>
      </w:pPr>
      <w:r/>
      <w:r>
        <w:rPr>
          <w:sz w:val="21"/>
        </w:rPr>
        <w:t>Datacom Software Development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Data Science &amp; ML — NIELIT — 2021</w:t>
      </w:r>
    </w:p>
    <w:p>
      <w:pPr>
        <w:pStyle w:val="ListBullet"/>
        <w:spacing w:before="0" w:after="40"/>
        <w:ind w:left="360"/>
      </w:pPr>
      <w:r/>
      <w:r>
        <w:rPr>
          <w:sz w:val="21"/>
        </w:rPr>
        <w:t>Cybersecurity Essentials — Cisco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