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11 June 2026</w:t>
      </w:r>
    </w:p>
    <w:p>
      <w:pPr>
        <w:spacing w:before="0" w:after="160" w:line="276" w:lineRule="auto"/>
      </w:pPr>
      <w:r>
        <w:rPr>
          <w:sz w:val="21"/>
        </w:rPr>
        <w:t>Dear Intellect Group team,</w:t>
      </w:r>
    </w:p>
    <w:p>
      <w:pPr>
        <w:spacing w:before="0" w:after="160" w:line="276" w:lineRule="auto"/>
      </w:pPr>
      <w:r>
        <w:rPr>
          <w:sz w:val="21"/>
        </w:rPr>
        <w:t>Intellect Group’s commitment to placing junior ML talent into high-growth, AI-first companies is exactly the environment where I want to launch my career. Having recently completed my MSc in Computer Science with a focus on applied GenAI, I am drawn to your mission of solving real business problems through production-grade machine learning. My technical foundation is built on designing and deploying systems that move beyond theory, specifically through my work on agentic LLM pipelines and deep learning image classification.</w:t>
      </w:r>
    </w:p>
    <w:p>
      <w:pPr>
        <w:spacing w:before="0" w:after="160" w:line="276" w:lineRule="auto"/>
      </w:pPr>
      <w:r>
        <w:rPr>
          <w:sz w:val="21"/>
        </w:rPr>
        <w:t>In my recent project, I built an end-to-end Python pipeline that automates complex workflows using Google Gemini LLMs. To ensure this system was production-ready, I engineered an agentic quality-gate loop that iterates content until it meets an 85% ATS match threshold, supported by 121 automated unit tests. This experience in model evaluation and continuous improvement mirrors the challenges of building robust ML systems in the fast-moving environments you support. Additionally, my work on a DenseNet-based wildfire detection system—which achieved 98.84% accuracy—demonstrates my ability to handle large datasets and optimize model performance by +16% over baseline architectures.</w:t>
      </w:r>
    </w:p>
    <w:p>
      <w:pPr>
        <w:spacing w:before="0" w:after="160" w:line="276" w:lineRule="auto"/>
      </w:pPr>
      <w:r>
        <w:rPr>
          <w:sz w:val="21"/>
        </w:rPr>
        <w:t>I am particularly interested in how Intellect Group bridges the gap between cutting-edge research and practical application. I am confident that my hands-on experience with cloud infrastructure, Python-based ML frameworks, and automated deployment workflows will allow me to contribute to your clients' success from day one. I would appreciate the chance to talk about how my background in building and deploying ML models aligns with the needs of your current partners.</w:t>
      </w:r>
    </w:p>
    <w:p>
      <w:pPr>
        <w:spacing w:before="0" w:after="160" w:line="276" w:lineRule="auto"/>
      </w:pPr>
      <w:r>
        <w:rPr>
          <w:sz w:val="21"/>
        </w:rPr>
        <w:t>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