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11 June 2026</w:t>
      </w:r>
    </w:p>
    <w:p>
      <w:pPr>
        <w:spacing w:before="0" w:after="160" w:line="276" w:lineRule="auto"/>
      </w:pPr>
      <w:r>
        <w:rPr>
          <w:sz w:val="21"/>
        </w:rPr>
        <w:t>Dear The AA team,</w:t>
      </w:r>
    </w:p>
    <w:p>
      <w:pPr>
        <w:spacing w:before="0" w:after="160" w:line="276" w:lineRule="auto"/>
      </w:pPr>
      <w:r>
        <w:rPr>
          <w:sz w:val="21"/>
        </w:rPr>
        <w:t>Joining The AA as an AI Engineer represents a unique opportunity to help shape the future of a century-old organization that is actively modernizing its service delivery. I have followed The AA’s evolution from roadside assistance to a tech-forward motoring leader, and I am excited by the prospect of contributing to your newly established AI Centre of Excellence. My experience in building and deploying production-ready Generative AI and agentic pipelines aligns with your ambition to create intelligent products that provide meaningful value to your members and frontline teams.</w:t>
      </w:r>
    </w:p>
    <w:p>
      <w:pPr>
        <w:spacing w:before="0" w:after="160" w:line="276" w:lineRule="auto"/>
      </w:pPr>
      <w:r>
        <w:rPr>
          <w:sz w:val="21"/>
        </w:rPr>
        <w:t>In my recent work, I designed and deployed a 24/7 agentic LLM pipeline that handles complex tasks like multi-model failover and automated quality-gate loops. By implementing 121 automated unit tests and robust monitoring, I ensured that my applications remain reliable and scalable in production environments. I am comfortable working across the full development lifecycle—from initial solution design and product thinking to the technical execution of clean, scalable Python code. My approach to AI engineering is rooted in both technical precision and a focus on the wider business outcome, ensuring that every model I build is transparent, secure, and aligned with user needs.</w:t>
      </w:r>
    </w:p>
    <w:p>
      <w:pPr>
        <w:spacing w:before="0" w:after="160" w:line="276" w:lineRule="auto"/>
      </w:pPr>
      <w:r>
        <w:rPr>
          <w:sz w:val="21"/>
        </w:rPr>
        <w:t>I am particularly interested in how The AA plans to scale AI governance and performance monitoring across its diverse product range. My background in applying machine learning to real-world datasets, such as my work achieving 98.84% accuracy on wildfire detection, has taught me the importance of rigorous evaluation and iterative improvement. I am confident that my hands-on experience with cloud-native environments and my collaborative mindset will allow me to contribute effectively to your team’s technical strategy.</w:t>
      </w:r>
    </w:p>
    <w:p>
      <w:pPr>
        <w:spacing w:before="0" w:after="160" w:line="276" w:lineRule="auto"/>
      </w:pPr>
      <w:r>
        <w:rPr>
          <w:sz w:val="21"/>
        </w:rPr>
        <w:t>I would appreciate the chance to talk about how my skills in LLMOps and AI application development can support the growth of your AI function.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