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Coefficient. Having built production-grade AI systems that prioritize reliability and rigorous evaluation, I am drawn to your consultancy’s focus on agentic coding and high-impact delivery. My background in machine learning and MLOps is centered on moving beyond notebooks to create scalable, tested solutions.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pipeline that automates complex workflows. By integrating Cursor and Claude Code, I engineered a quality-gate loop that iterates AI-generated outputs until they meet an 85% ATS match threshold. This system is supported by 121 automated unit tests, ensuring the production reliability that Coefficient demands. I am comfortable across the Python Open Data Science Stack and have applied RAG and vector database patterns to solve data-heavy challenges.</w:t>
      </w:r>
    </w:p>
    <w:p>
      <w:pPr>
        <w:spacing w:before="0" w:after="160" w:line="276" w:lineRule="auto"/>
      </w:pPr>
      <w:r>
        <w:rPr>
          <w:sz w:val="21"/>
        </w:rPr>
        <w:t>Beyond technical implementation, I enjoy the process of translating complex model performance into clear insights for stakeholders. My work on a wildfire detection system, which achieved 98.84% accuracy—a 16% improvement over baseline architectures—required both deep learning expertise and the ability to communicate results effectively. I am eager to bring this same analytical rigour to your client projects, whether for government agencies or fast-growing startups.</w:t>
      </w:r>
    </w:p>
    <w:p>
      <w:pPr>
        <w:spacing w:before="0" w:after="160" w:line="276" w:lineRule="auto"/>
      </w:pPr>
      <w:r>
        <w:rPr>
          <w:sz w:val="21"/>
        </w:rPr>
        <w:t>I am UK-based with full right-to-work and am available for the required on-site collaboration in London. I admire Coefficient’s commitment to professional growth and the '10% Time' programme, and I am excited about the prospect of contributing to your team’s success.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