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11 June 2026</w:t>
      </w:r>
    </w:p>
    <w:p>
      <w:pPr>
        <w:spacing w:before="0" w:after="160" w:line="276" w:lineRule="auto"/>
      </w:pPr>
      <w:r>
        <w:rPr>
          <w:sz w:val="21"/>
        </w:rPr>
        <w:t>The opportunity to join NatWest Digital X as an Applied AI Engineer aligns perfectly with my focus on building production-grade, agentic GenAI systems. My work centers on the intersection of engineering discipline and AI innovation, ensuring that models are not only performant but also secure, compliant, and reliable in real-world environments.</w:t>
      </w:r>
    </w:p>
    <w:p>
      <w:pPr>
        <w:spacing w:before="0" w:after="160" w:line="276" w:lineRule="auto"/>
      </w:pPr>
      <w:r>
        <w:rPr>
          <w:sz w:val="21"/>
        </w:rPr>
        <w:t>In my recent projects, I designed and deployed an end-to-end agentic LLM pipeline that operates 24/7 on cloud infrastructure. By integrating multi-model failover, rate-limiting, and 121 automated unit tests, I ensured the system met high standards of observability and scalability. My approach to AI is rooted in the same principles NatWest prioritizes: engineering simple, secure solutions that protect customers while operating smarter. I have experience with retrieval-augmented generation and vector database concepts, and I am comfortable navigating the complexities of regulated environments.</w:t>
      </w:r>
    </w:p>
    <w:p>
      <w:pPr>
        <w:spacing w:before="0" w:after="160" w:line="276" w:lineRule="auto"/>
      </w:pPr>
      <w:r>
        <w:rPr>
          <w:sz w:val="21"/>
        </w:rPr>
        <w:t>Beyond my technical proficiency in Python, TensorFlow, and PyTorch, I bring a rigorous approach to model risk and data governance. Whether optimizing inference pipelines for performance or documenting research for regulatory transparency, I focus on delivering measurable impact. My wildfire detection system, which achieved 98.84% accuracy and outperformed baseline architectures by 16%, demonstrates my ability to turn research into practical, production-ready capabilities.</w:t>
      </w:r>
    </w:p>
    <w:p>
      <w:pPr>
        <w:spacing w:before="0" w:after="160" w:line="276" w:lineRule="auto"/>
      </w:pPr>
      <w:r>
        <w:rPr>
          <w:sz w:val="21"/>
        </w:rPr>
        <w:t>I am eager to bring my experience in MLOps and scalable AI infrastructure to your team. Thank you for considering my application.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