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Machine Learning Engineer with an MSc in Computer Science (Distinction) and hands-on experience in productionising ML models. Proficient in Python, TensorFlow, and Scikit-learn, with a proven track record of building and maintaining end-to-end machine learning pipelines. Expert in model evaluation, cross-validation, and deploying reliable services on cloud infrastructure. Successfully delivered a production-grade LLM pipeline and a high-accuracy DenseNet CNN, demonstrating a strong commitment to MLOps best practices and scalable software engineering.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TensorFlow, Keras, Scikit-learn, CNNs (DenseNet), model evaluation, cross-validation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MLOps, agentic pipelines, pytest, CI/CD, Infrastructure as Code,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machine learning pipelines  ·  model evaluation  ·  productionise models  ·  MLOps  ·  cross-functional teams  ·  automated testing  ·  infrastructure as code  ·  CI/CD  ·  responsible AI practices  ·  model governance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LLM pipeline with 121 automated unit tests and multi-model failover running 24/7.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to clear an 85% ATS match threshold for automated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 using Multi-Scale Retinex preprocessing.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deployed a production-grade machine learning pipeline that scrapes ~50 job postings per run across LinkedIn and Indeed, using Google Gemini LLMs to score and rank candidates.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for model governance, re-scoring AI-tailored resumes to ensure they meet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MLOps best practices including rate-limiting, exponential-backoff retries, multi-model failover, and 121 automated unit tests using pytest to ensure service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application 24/7 on an Oracle Cloud VM, applying Infrastructure as Code principles to manage the environment and a responsive Next.js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machine learning pipeline for wildfire detection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model evaluation techniques, including GridSearchCV and cross-validation, to ensure robustness against class imbalance and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Multi-Scale Retinex preprocessing and data augmentation to improve model performance, presenting findings to academic stakeholders to support data-driven decision-making.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cross-functional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Scikit-learn, applying feature engineering and model selection best practices to validate predictive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