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 Master’s in Computer Science and hands-on experience designing, building, and deploying production-ready Generative AI and Agentic AI solutions. Proficient in Python, Large Language Models, and cloud-native architectures, with a proven track record of scaling applications from discovery to 24/7 production environments. Expert in implementing MLOps practices, including automated testing, multi-model failover, and performance monitoring. Successfully delivered high-accuracy machine learning models and automated pipelines that drive measurable business value and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Generative AI, Large Language Models, Agentic AI, Machine Learning, TensorFlow, Keras, Scikit-learn, CNNs (DenseNet)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Tools &amp; Methods: </w:t>
      </w:r>
      <w:r>
        <w:t>LLMOps, MLOps, CI/CD, pytest, containerisation, monitoring, observability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Generative AI  ·  Large Language Models  ·  Agentic AI  ·  production deployment  ·  cloud native  ·  LLMOps  ·  MLOps  ·  solution design  ·  performance monitoring  ·  technical strategy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agentic LLM pipeline with 121 automated unit tests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resume and cover letter generation for 50+ job postings per run with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Tableau dashboard for forensic data insights and a rule-based financial chatbot for 10-K/10-Q report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production-ready agentic LLM pipeline on Oracle Cloud, processing ~50 job postings per run with automated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achieving an 85% ATS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MLOps practices including 121 automated unit tests via pytest, exponential-backoff retries, and content-based deduplication for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Next.js and Tailwind CSS dashboard on Vercel to monitor system performance and application status.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 high-performance machine learning application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applying Multi-Scale Retinex preprocessing and data augmentation to address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technical findings and performance metrics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region-based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to solve complex data challenges.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