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specializing in building production-grade AI and machine learning solutions. Expert in the Python Open Data Science Stack (pandas, NumPy, scikit-learn, matplotlib, Seaborn) and advanced LLM application patterns including RAG, vector databases, and LLM evaluation suites. Proven track record in agentic coding using Cursor and Claude Code to deliver high-quality, automated workflows. Delivered a production-grade agentic LLM pipeline achieving an 85% ATS match threshold through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LLM evaluation, RAG, vector databases, CNNs, DenseNet, predictive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matplotlib, Seaborn, Power BI, Tableau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coding, Cursor, Claude Code, prompt engineering, MLOps, pytest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AWS, Azure, Snowflake,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coding (Cursor, Claude Code)  ·  LLM evaluation suites  ·  Retrieval-Augmented Generation (RAG)  ·  vector databases  ·  Python Open Data Science Stack  ·  MLOps  ·  automated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ATS match threshold achieved via agentic quality-gate loops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,700+ high-resolution images processed for deep learning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agentic coding pipeline using Cursor and Claude Code to scrape ~50 job postings per run, utilizing Google Gemini LLMs to score and auto-tailor resumes.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 and iterates until clearing an 85% ATS match threshold, demonstrating advanced prompt engineering and LLM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features including multi-model failover, exponential-backoff retries, and content-based deduplication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reliability and code quality for the deployed Telegram bot.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high-performance ML pipeline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visualising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science experiments with scikit-learn, applying feature engineering and model selection best practices to diverse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