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 strong foundation in building production-grade, agent-based AI systems and scalable backend architectures. Expert in Python, LLM API integration, prompt engineering, and machine learning pipelines, with a proven track record of deploying 24/7 agentic workflows. Successfully engineered high-accuracy CNN models and automated data-processing systems using SQL, Pandas, and cloud infrastructure. Committed to delivering robust, production-ready AI features that transform complex datasets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CNNs, DenseNet, Scikit-learn, TensorFlow, Keras</w:t>
      </w:r>
    </w:p>
    <w:p>
      <w:pPr>
        <w:spacing w:before="0" w:after="20"/>
      </w:pPr>
      <w:r>
        <w:rPr>
          <w:b/>
        </w:rPr>
        <w:t xml:space="preserve">GenAI &amp; LLMs: </w:t>
      </w:r>
      <w:r>
        <w:t>Large Language Models, Agent-based AI systems, Prompt engineering, LLM API integration, Multi-model failover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agent-based AI systems  ·  production-grade systems  ·  LLM API integration  ·  prompt engineering  ·  machine learning pipelines  ·  data modelling  ·  backend frameworks  ·  automated unit tests  ·  feature engineering  ·  model selection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featuring multi-model failover and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run, integrating Google Gemini LLMs for scoring and ranking.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backend pipeline that scrapes ~50 job postings per run across LinkedIn and Indeed, utilizing Google Gemini LLMs for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stability and programmatically generated ATS-clean .docx files.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agent-based AI system on an Oracle Cloud VM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machine learning pipeline for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visualizing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and model selection best practices to complex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