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Software Engineer with a strong foundation in building and deploying production-grade agentic LLM pipelines. Expert in Python-based backend service development, prompt engineering, and integrating AI-driven experiences with React/Next.js front-ends. Proven track record of delivering reliable, scalable AI infrastructure, including multi-model failover and automated testing frameworks. Committed to optimizing AI-powered agent performance and enhancing RAG systems to support complex business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Large Language Models (LLMs), Agentic AI frameworks, Prompt engineering, RAG systems, DenseNet, TensorFlow, Keras, Scikit-learn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MySQL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React, Next.js, pytest, API integration,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LLM pipelines  ·  prompt engineering  ·  RAG systems  ·  backend service development  ·  API integration  ·  system performance optimization  ·  automated unit testing  ·  AI-powered agents  ·  structured data optimization  · 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tests, achieving an 85% ATS match threshold for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DenseNet-based CNN for wildfire detection, achieving 98.84% accuracy and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AI-powered agent on Oracle Cloud infrastructure, managing multi-model failover and exponential-backoff retries for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trends to support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a Python-based backend service that manages AI-powered agents to scrape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prompt engineering best practices and agentic quality-gate loops to score, rank, and auto-tailor content, ensuring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infrastructure featuring multi-model failover, rate-limiting, and exponential-backoff retries to ensure high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comprehensive unit tests using pytest and integrated front-end AI-driven experiences using a responsive Next.js and Tailwind CSS dashboard.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service 24/7 on an Oracle Cloud VM, utilizing structured data handling and content-based deduplication.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image classification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system performance to achieve 98.84% accuracy,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implemented data augmentation to address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structured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