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a strong academic background in applied machine learning and GenAI. Expert in Python and Jupyter notebooks, with hands-on experience building agentic LLM pipelines, vector databases, and embeddings for real-world datasets. Proven ability to translate ambiguous, messy enterprise-scale data into structured investigations, evidenced by a 98.84% accuracy rate in complex classification tasks and 1-2 years of intensive project-based industry experience.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Applied machine learning, LLMs, Vector databases, Embeddings, Retrieval systems, CNNs, Scikit-learn, TensorFlow</w:t>
      </w:r>
    </w:p>
    <w:p>
      <w:pPr>
        <w:spacing w:before="0" w:after="20"/>
      </w:pPr>
      <w:r>
        <w:rPr>
          <w:b/>
        </w:rPr>
        <w:t xml:space="preserve">Data &amp; BI: </w:t>
      </w:r>
      <w:r>
        <w:t>Data workflows, Messy, real-world datasets, Enterprise data environments, Pandas, NumPy, SQL, Power BI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Snowflake, Azure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Jupyter notebooks, Agentic pipelines, Prompt engineering, pytest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applied machine learning  ·  LLM API integration  ·  agentic pipelines  ·  vector databases  ·  embeddings  ·  retrieval systems  ·  enterprise data environments  ·  data workflows  ·  predictive modelling  ·  feature engineering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% accuracy on wildfire detection (+16% vs baseline)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unit tests for production reliability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,700+ high-resolution images processed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+ job postings processed per run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in Jupyter notebooks to ingest and process ~50 job postings per run, applying LLMs to extract actionable insights from messy, real-world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AI-tailored outputs, iterating until clearing an 85% ATS match threshold to ensure high-quality, structured results.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features including rate-limiting, exponential-backoff retries, and multi-model failover to handle unpredictable data environments.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validate pipeline logic and ensure robust performance of the deployed Telegram bot on Oracle Cloud.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vector-based retrieval systems to manage and query large-scale document embeddings, mirroring enterprise-scale procurement data workflows.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 end-to-end ML pipeline using DenseNet-based CNNs to process 2,700+ high-resolution images, achieving 98.84% accuracy—a +16% improvement over baseline architectures.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advanced data augmentation and Multi-Scale Retinex preprocessing to mitigate class imbalance and brightness variation in complex, real-world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rigorous model selection and feature engineering using GridSearchCV and cross-validation to ensure the system's robustness for academic stakeholders.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 from enterprise-style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 to solve analytical problems in simulated enterprise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