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AI Software Engineer with an MSc in Computer Science (Distinction) specializing in production-grade AI and agentic pipelines. Expert in Python, gRPC, and microservices architecture, with hands-on experience in containerization via Docker and Kubernetes orchestration. Proven track record of building end-to-end AI-powered product experiences, including an agentic LLM platform that achieved a 98.84% accuracy rate in deep learning classification and maintained 100% uptime on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Rust, Docker, Kubernetes, gRPC, microservices, Oracle Cloud, AWS S3, Vercel, pytest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DenseNet, model evaluation,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Next.js, React, Node.js, Tailwind CSS,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AI  ·  agentic pipelines  ·  microservices architecture  ·  containerization (Docker/Kubernetes)  ·  gRPC  ·  automated unit tests  ·  system architecture  ·  performance optimization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ATS match threshold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production uptime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performance improvement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score, rank, and auto-tailor resumes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correctness and maintainability for programmatic .docx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containerized service on an Oracle Cloud VM, utilizing Docker for environment consistency and a responsive Next.js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visualized performance with Matplotlib/Seaborn and presented results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the system with a modular approach, establishing a foundation for future microservices integration and gRPC-based communication.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improve predictive accuracy by 12%.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data pipelines to ensure 100% reproducibility across team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