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AI Engineer specializing in designing and productionising agentic GenAI systems and scalable inference pipelines. Highly proficient in Python, TensorFlow, and PyTorch, with a proven track record of deploying 24/7 production-grade systems on cloud infrastructure. Expert in implementing MLOps principles, vector databases, and automated quality-gate loops to ensure reliability in regulated environments. Delivered a 98.84% accuracy rate in deep learning classification, achieving a +16% performance improvement over baseline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PyTorch, Keras, Scikit-learn, CNNs (DenseNet), MLOps, LLMOps</w:t>
      </w:r>
    </w:p>
    <w:p>
      <w:pPr>
        <w:spacing w:before="0" w:after="20"/>
      </w:pPr>
      <w:r>
        <w:rPr>
          <w:b/>
        </w:rPr>
        <w:t xml:space="preserve">GenAI &amp; LLMs: </w:t>
      </w:r>
      <w:r>
        <w:t>GenAI, Agentic pipelines, Vector Databases (Pinecone/Milvus), Retrieval-Augmented Generation (RAG), Prompt engineering, Multi-model failover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Observability, CI/CD, Data governance, Regulatory compliance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Applied AI Engineering  ·  Retrieval-Augmented Generation (RAG)  ·  Vector Databases  ·  MLOps &amp; LLMOps frameworks  ·  Production-grade systems  ·  Regulatory requirements  ·  Inference pipelines  ·  Automated unit tests  ·  Scalability &amp; Observability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uptime for agentic LLM pipelines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ATS match threshold automation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agentic LLM pipeline that scrapes ~50 job postings per run, integrating Google Gemini to score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RAG-based retrieval patterns and vector database concepts to manage context, ensuring high-quality, compliant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quality-gate loop that iterates AI-tailored content until it clears an 85% ATS match threshold, embedding MLOps principles for automated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production-grade reliability via rate-limiting, multi-model failover, and 121 automated unit tests (pytest) to maintain system observability.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adhering to secure deployment practices for resilient operation.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inference pipelines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maintaining rigorous performance standards suitable for regulated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Produced detailed documentation of research outcomes and model performance metrics to support transparency and alignment with ethical and regulatory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trends, supporting data-driven decision-making for 100% of project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deliver reliable analytical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