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27 July 2026</w:t>
      </w:r>
    </w:p>
    <w:p>
      <w:pPr>
        <w:spacing w:before="0" w:after="160" w:line="276" w:lineRule="auto"/>
      </w:pPr>
      <w:r>
        <w:rPr>
          <w:sz w:val="21"/>
        </w:rPr>
        <w:t>Dear Sprint Reply team,</w:t>
      </w:r>
    </w:p>
    <w:p>
      <w:pPr>
        <w:spacing w:before="0" w:after="160" w:line="276" w:lineRule="auto"/>
      </w:pPr>
      <w:r>
        <w:rPr>
          <w:sz w:val="21"/>
        </w:rPr>
        <w:t>Your mission to transform the Intelligent Enterprise through execution-oriented engineering and Intelligent Process Automation resonates with my own approach to software development. Having recently completed my MSc in Computer Science with a Distinction, I have spent the last year building and deploying production-grade AI solutions that solve real-world problems, much like the client-facing projects at Sprint Reply.</w:t>
      </w:r>
    </w:p>
    <w:p>
      <w:pPr>
        <w:spacing w:before="0" w:after="160" w:line="276" w:lineRule="auto"/>
      </w:pPr>
      <w:r>
        <w:rPr>
          <w:sz w:val="21"/>
        </w:rPr>
        <w:t>In my recent work on an agentic LLM platform, I moved beyond simple API integration to build a robust, 24/7 production pipeline. By implementing an agentic quality-gate loop, I ensured that every AI-generated output met an 85% ATS-match threshold before delivery. This required not only prompt engineering with the Google Gemini API but also a deep focus on software engineering best practices, including 121 automated unit tests and multi-model failover strategies to ensure reliability. I am eager to bring this same level of technical discipline to your AI and Machine Learning initiatives.</w:t>
      </w:r>
    </w:p>
    <w:p>
      <w:pPr>
        <w:spacing w:before="0" w:after="160" w:line="276" w:lineRule="auto"/>
      </w:pPr>
      <w:r>
        <w:rPr>
          <w:sz w:val="21"/>
        </w:rPr>
        <w:t>My technical foundation is built on Python and cloud-native development, with hands-on experience deploying scalable applications on AWS and Oracle Cloud. Whether I am using Scikit-learn to predict NHS performance breaches or utilizing DenseNet CNNs to achieve 98.84% accuracy in image classification, I prioritize measurable outcomes and clean, maintainable code. I am particularly drawn to Sprint Reply because of your commitment to R&amp;D and the collaborative environment you foster for graduate developers.</w:t>
      </w:r>
    </w:p>
    <w:p>
      <w:pPr>
        <w:spacing w:before="0" w:after="160" w:line="276" w:lineRule="auto"/>
      </w:pPr>
      <w:r>
        <w:rPr>
          <w:sz w:val="21"/>
        </w:rPr>
        <w:t>I am excited about the possibility of contributing to your team this August and would welcome the chance to discuss how my experience with Generative AI and cloud platforms can support your upcoming client projects.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