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27 July 2026</w:t>
      </w:r>
    </w:p>
    <w:p>
      <w:pPr>
        <w:spacing w:before="0" w:after="160" w:line="276" w:lineRule="auto"/>
      </w:pPr>
      <w:r>
        <w:rPr>
          <w:sz w:val="21"/>
        </w:rPr>
        <w:t>The mission at Brain Co. to move AI from research labs into the real world—specifically within healthcare and government—is exactly where I want to focus my career. Having recently completed my MSc in Computer Science with a focus on production-grade machine learning, I have spent the last year building systems that bridge the gap between raw data and actionable, automated outcomes.</w:t>
      </w:r>
    </w:p>
    <w:p>
      <w:pPr>
        <w:spacing w:before="0" w:after="160" w:line="276" w:lineRule="auto"/>
      </w:pPr>
      <w:r>
        <w:rPr>
          <w:sz w:val="21"/>
        </w:rPr>
        <w:t>My recent work on an agentic LLM platform involved building a 24/7 pipeline that handles complex job-matching tasks. By implementing a RAG-based architecture and a rigorous quality-gate loop, I ensured that every output met an 85% ATS match threshold. I am comfortable working with the full stack of model deployment, from writing 121 automated unit tests in pytest to managing multi-model failover on cloud infrastructure. My experience with TensorFlow and Scikit-learn, combined with my ability to quickly adapt to frameworks like PyTorch or Jax, allows me to hit the ground running on your engineering team.</w:t>
      </w:r>
    </w:p>
    <w:p>
      <w:pPr>
        <w:spacing w:before="0" w:after="160" w:line="276" w:lineRule="auto"/>
      </w:pPr>
      <w:r>
        <w:rPr>
          <w:sz w:val="21"/>
        </w:rPr>
        <w:t>Beyond my personal projects, I have a deep interest in the healthcare sector. My analysis of 188 months of NHS A&amp;E data required me to handle large-scale longitudinal datasets and build predictive models that identified the drivers of 12-hour waiting time breaches. This project taught me how to translate complex, messy real-world data into clear, high-impact insights.</w:t>
      </w:r>
    </w:p>
    <w:p>
      <w:pPr>
        <w:spacing w:before="0" w:after="160" w:line="276" w:lineRule="auto"/>
      </w:pPr>
      <w:r>
        <w:rPr>
          <w:sz w:val="21"/>
        </w:rPr>
        <w:t>I am drawn to Brain Co. because of the emphasis on ownership and speed. I am looking for a role where I can wear many hats, contribute to code reviews, and help deploy solutions that actually move the needle for public institutions. I am based in London and ready to contribute immediately.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