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Dear Elsevier team,</w:t>
      </w:r>
    </w:p>
    <w:p>
      <w:pPr>
        <w:spacing w:before="0" w:after="160" w:line="276" w:lineRule="auto"/>
      </w:pPr>
      <w:r>
        <w:rPr>
          <w:sz w:val="21"/>
        </w:rPr>
        <w:t>Elsevier’s mission to advance discovery through trusted data is what draws me to the Data Scientist III role. Having spent my recent work building agentic LLM pipelines and retrieval systems, I am particularly excited by the challenge of scaling LeapSpace’s capabilities to support researchers worldwide.</w:t>
      </w:r>
    </w:p>
    <w:p>
      <w:pPr>
        <w:spacing w:before="0" w:after="160" w:line="276" w:lineRule="auto"/>
      </w:pPr>
      <w:r>
        <w:rPr>
          <w:sz w:val="21"/>
        </w:rPr>
        <w:t>In my recent work, I built an end-to-end agentic pipeline that utilizes Google Gemini LLMs to perform complex information retrieval and semantic exploration. By engineering a quality-gate loop that iterates outputs until they meet an 85% match threshold, I developed a practical framework for hallucination mitigation and context management. This experience in building and evaluating agentic workflows is directly applicable to the retrieval-augmented generation (RAG) systems you are developing for the Search &amp; AI Platform.</w:t>
      </w:r>
    </w:p>
    <w:p>
      <w:pPr>
        <w:spacing w:before="0" w:after="160" w:line="276" w:lineRule="auto"/>
      </w:pPr>
      <w:r>
        <w:rPr>
          <w:sz w:val="21"/>
        </w:rPr>
        <w:t>Beyond my work in generative AI, I have a strong foundation in statistical analysis and predictive modelling. My analysis of NHS A&amp;E performance data involved building a Random Forest classifier that achieved 0.90–0.95 ROC-AUC, demonstrating my ability to translate complex, knowledge-intensive datasets into actionable insights. I am comfortable working across the full lifecycle of a project, from data ingestion and semantic enrichment to deploying production-ready models on cloud infrastructure.</w:t>
      </w:r>
    </w:p>
    <w:p>
      <w:pPr>
        <w:spacing w:before="0" w:after="160" w:line="276" w:lineRule="auto"/>
      </w:pPr>
      <w:r>
        <w:rPr>
          <w:sz w:val="21"/>
        </w:rPr>
        <w:t>I am eager to bring my technical background in Python, NLP, and retrieval architectures to your team. I would appreciate the chance to discuss how my approach to AI evaluation and experimentation can support the next generation of Elsevier’s scientific discovery tools.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