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27 July 2026</w:t>
      </w:r>
    </w:p>
    <w:p>
      <w:pPr>
        <w:spacing w:before="0" w:after="160" w:line="276" w:lineRule="auto"/>
      </w:pPr>
      <w:r>
        <w:rPr>
          <w:sz w:val="21"/>
        </w:rPr>
        <w:t>I am writing to apply for the MLOps Engineer role at Capgemini. My academic background in Computer Science, combined with my practical experience in building and deploying end-to-end machine learning systems, aligns closely with the requirements of your Digital Customer Experience team.</w:t>
      </w:r>
    </w:p>
    <w:p>
      <w:pPr>
        <w:spacing w:before="0" w:after="160" w:line="276" w:lineRule="auto"/>
      </w:pPr>
      <w:r>
        <w:rPr>
          <w:sz w:val="21"/>
        </w:rPr>
        <w:t>In my recent projects, I have focused on the full lifecycle of machine learning, from data pipeline engineering to production deployment. I successfully built an agentic LLM pipeline that runs 24/7 on Oracle Cloud, utilizing multi-model failover and 121 automated unit tests to ensure high availability. My work on wildfire detection involved optimizing DenseNet architectures to achieve 98.84% accuracy, demonstrating my ability to handle complex model development and performance tuning.</w:t>
      </w:r>
    </w:p>
    <w:p>
      <w:pPr>
        <w:spacing w:before="0" w:after="160" w:line="276" w:lineRule="auto"/>
      </w:pPr>
      <w:r>
        <w:rPr>
          <w:sz w:val="21"/>
        </w:rPr>
        <w:t>I am eager to apply my skills in Python, TensorFlow, and data pipeline construction to help Capgemini’s clients navigate their digital transformation journeys. I am familiar with the importance of enterprise-grade tooling and am actively expanding my expertise in TFX, Kubeflow, and real-time streaming architectures like Kafka and Spark.</w:t>
      </w:r>
    </w:p>
    <w:p>
      <w:pPr>
        <w:spacing w:before="0" w:after="160" w:line="276" w:lineRule="auto"/>
      </w:pPr>
      <w:r>
        <w:rPr>
          <w:sz w:val="21"/>
        </w:rPr>
        <w:t>Regarding the security clearance requirement, I am currently on a Graduate visa and am fully aware of the 5-year continuous UK residency criteria. I am committed to fulfilling these requirements as I build my career in the UK. I am impressed by Capgemini’s 'learning for life' culture and the opportunity to work within a diverse, expert-led community. Thank you for considering my application; I look forward to the possibility of discussing how my technical background and problem-solving approach can contribute to your team’s success.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