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Associate Data Scientist (HEO)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a strong foundation in Python, SQL, and machine learning model development. Proven ability to clean, transform, and analyse complex datasets to deliver actionable insights for public sector performance monitoring.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Python, Scikit-learn, TensorFlow, Keras, model evaluation, cross-validation</w:t>
      </w:r>
    </w:p>
    <w:p>
      <w:pPr>
        <w:spacing w:before="0" w:after="20"/>
      </w:pPr>
      <w:r>
        <w:rPr>
          <w:b/>
        </w:rPr>
        <w:t xml:space="preserve">Data Engineering &amp; Analysis: </w:t>
      </w:r>
      <w:r>
        <w:t>SQL, Pandas, NumPy, data pipelines, data cleaning, ETL</w:t>
      </w:r>
    </w:p>
    <w:p>
      <w:pPr>
        <w:spacing w:before="0" w:after="20"/>
      </w:pPr>
      <w:r>
        <w:rPr>
          <w:b/>
        </w:rPr>
        <w:t xml:space="preserve">Visualization &amp; Cloud: </w:t>
      </w:r>
      <w:r>
        <w:t>Power BI, Tableau, AWS, Azure, Oracle Cloud, Chart.js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Cleaned and transformed 188 months of NHS England A&amp;E performance data (2010–2026) using advanced SQL window functions and CTEs to ensure data integrity for longitudinal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findings to stakeholders by translating technical performance trends into an interactive Chart.js dashboard surfacing 12-hour waiter spikes and compliance seasonality.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utilizing rolling 3-month compliance history and seasonality as key features.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98.84% accuracy rate (+16% over baseline) for wildfire detection by training DenseNet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 and ensure robustness against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regional KPIs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techniques.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