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Graduate AI Software Developer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Graduate AI Software Developer with an MSc in Computer Science and a proven track record in building production-grade Generative AI and machine learning pipelines. Delivered an agentic LLM platform with 121 automated tests and 85% ATS-match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Artificial Intelligence &amp; GenAI: </w:t>
      </w:r>
      <w:r>
        <w:t>Generative AI, LLM API integration, agentic pipelines, Google Gemini API, CNNs (DenseNet), model evaluation</w:t>
      </w:r>
    </w:p>
    <w:p>
      <w:pPr>
        <w:spacing w:before="0" w:after="20"/>
      </w:pPr>
      <w:r>
        <w:rPr>
          <w:b/>
        </w:rPr>
        <w:t xml:space="preserve">Software &amp; Cloud Engineering: </w:t>
      </w:r>
      <w:r>
        <w:t>Python, JavaScript, AWS, Microsoft Azure, Next.js, pytest</w:t>
      </w:r>
    </w:p>
    <w:p>
      <w:pPr>
        <w:spacing w:before="0" w:after="20"/>
      </w:pPr>
      <w:r>
        <w:rPr>
          <w:b/>
        </w:rPr>
        <w:t xml:space="preserve">Data &amp; Analytics: </w:t>
      </w:r>
      <w:r>
        <w:t>SQL, Power BI, Pandas, NumPy, Scikit-learn, Tableau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resumes until clearing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the scraping and processing of ~50 job postings per run across LinkedIn and Indeed using Python and Google Gemini LLMs.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Ensured production reliability by implementing multi-model failover, exponential-backoff retries, and 121 automated unit tests via pytest.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scalable application on Oracle Cloud with a responsive Next.js and Tailwind CSS dashboard hosted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drivers of 4-hour target breaches by querying 188 months of NHS England data using advanced SQL window functions and CTEs.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with 0.90–0.95 ROC-AUC to predict monthly breach risk, identifying seasonality as a key feature.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Visualized performance trends through an interactive Chart.js dashboard, highlighting a 141× increase in 12-hour wait times since 2019.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detection—a +16% improvement over baseline architectures—using DenseNet CNNs on 2,700+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Optimized model robustness by applying GridSearchCV, cross-validation, and Multi-Scale Retinex preprocessing to handle brightness variation.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modelling to surface KPIs for academic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machine learning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