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strong focus on building scalable, maintainable web features using React and Next.js. Experienced in developing robust software architectures, integrating complex APIs, and ensuring high code quality through rigorous automated testing.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Frontend &amp; Web Development: </w:t>
      </w:r>
      <w:r>
        <w:t>React, Next.js, Tailwind CSS, JavaScript/TypeScript, Chart.js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Vercel, AWS S3, pytest, Node.js</w:t>
      </w:r>
    </w:p>
    <w:p>
      <w:pPr>
        <w:spacing w:before="0" w:after="20"/>
      </w:pPr>
      <w:r>
        <w:rPr>
          <w:b/>
        </w:rPr>
        <w:t xml:space="preserve">Data &amp; Backend: </w:t>
      </w:r>
      <w:r>
        <w:t>Python, SQL, Pandas, NumPy, Google Gemini API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using Next.js and Tailwind CSS, focusing on clean component architecture and efficient state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Google Gemini API to process job data, ensuring maintainable code through modular API service layers.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with pytest to ensure high code quality and reliable end-to-end functionality.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environment on Oracle Cloud and Vercel, utilizing exponential-backoff retries and multi-model failover for system stability.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Chart.js dashboard to visualize complex NHS performance metrics, ensuring seamless data integration and responsive UI design.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data retrieval using advanced SQL window functions and CTEs to process 188 months of performance data efficiently.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high-performance ML pipeline achieving 98.84% accuracy by optimizing DenseNet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validation techniques including GridSearchCV and cross-validation to ensure robust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utilizing DAX and data modelling for clear KPI visualization.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