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GenAI Developer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the design and deployment of enterprise-grade Generative AI and agentic workflows. Committed to Stantec’s focus on responsible AI frameworks, with a proven ability to build scalable, secure, and compliant RAG architectures that drive measurable business value.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Generative AI &amp; Cloud: </w:t>
      </w:r>
      <w:r>
        <w:t>RAG (Retrieval-Augmented Generation), Agentic AI, LLM API integration, Azure AI Foundry, Oracle Cloud, AWS</w:t>
      </w:r>
    </w:p>
    <w:p>
      <w:pPr>
        <w:spacing w:before="0" w:after="20"/>
      </w:pPr>
      <w:r>
        <w:rPr>
          <w:b/>
        </w:rPr>
        <w:t xml:space="preserve">Engineering &amp; Data: </w:t>
      </w:r>
      <w:r>
        <w:t>Python, SQL, TypeScript, pytest, Pandas, NumPy</w:t>
      </w:r>
    </w:p>
    <w:p>
      <w:pPr>
        <w:spacing w:before="0" w:after="20"/>
      </w:pPr>
      <w:r>
        <w:rPr>
          <w:b/>
        </w:rPr>
        <w:t xml:space="preserve">Machine Learning &amp; BI: </w:t>
      </w:r>
      <w:r>
        <w:t>TensorFlow, Keras, Scikit-learn, CNNs, Power BI, Model evaluation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data, utilizing advanced SQL window functions and CTEs to establish a baseline for operational performance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breach risk, prioritizing model interpretability to ensure stakeholders could act on the identified predictive features.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ML pipeline using DenseNet-based CNNs, selecting this architecture for its parameter efficiency and performance on high-resolution image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cross-validation and data augmentation strategies to mitigate class imbalance, ensuring the model maintained stability across varying environmental conditions.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 to support executive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