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Machine Learning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Machine Learning Engineer with an MSc in Computer Science (Distinction) and hands-on experience in production-grade LLM orchestration, Python performance tuning, and model deployment. Successfully engineered a 24/7 agentic LLM pipeline on Oracle Cloud, achieving 98.84% accuracy in deep learning tasks.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GenAI &amp; LLM Orchestration: </w:t>
      </w:r>
      <w:r>
        <w:t>Large Language Models, LangChain, LangGraph, Generative AI, Model Inference</w:t>
      </w:r>
    </w:p>
    <w:p>
      <w:pPr>
        <w:spacing w:before="0" w:after="20"/>
      </w:pPr>
      <w:r>
        <w:rPr>
          <w:b/>
        </w:rPr>
        <w:t xml:space="preserve">Machine Learning &amp; Engineering: </w:t>
      </w:r>
      <w:r>
        <w:t>Python, PyTorch, ONNX, GPU Optimisation, NumPy, pandas, Deep Learning, Machine Learning</w:t>
      </w:r>
    </w:p>
    <w:p>
      <w:pPr>
        <w:spacing w:before="0" w:after="20"/>
      </w:pPr>
      <w:r>
        <w:rPr>
          <w:b/>
        </w:rPr>
        <w:t xml:space="preserve">Cloud &amp; Deployment: </w:t>
      </w:r>
      <w:r>
        <w:t>Oracle Cloud, AWS, pytest, Model Deployment, Software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using LangChain and LangGraph to orchestrate quality-gate loops, iterating AI-tailored resumes until reaching an 85% ATS-match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production-grade LLM system on Oracle Cloud, implementing multi-model failover and exponential-backoff retries to ensure 99.9% service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Optimised Python memory management and execution speed for high-frequency scraping of ~50 job postings per run, processing data via NumPy and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model inference and ensure production-quality code standards.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ONNX Runtime to accelerate model inference, reducing latency by 15% for real-time job scoring tasks.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performance data using advanced SQL window functions, revealing that the 95% target was met in only 29% of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in Scikit-learn to predict monthly breach risk with 0.90–0.95 ROC-AUC, identifying seasonality as a key predictive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141x growth in 12-hour wait times since 2019, delivering actionable insights via an interactive Chart.js dashboard.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using PyTorch and DenseNet-based CNNs on 2,700+ high-resolution images, achieving 98.84% accuracy—a +16% gain over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GPU optimisation techniques to accelerate training cycles and implemented Multi-Scale Retinex preprocessing to handle complex brightness variations.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Validated model robustness through GridSearchCV and cross-validation, ensuring high-performance inference for real-world deployment scenarios.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