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Engineer, Deployed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hands-on experience deploying production-grade LLM pipelines and predictive analytics models in high-stakes environments. Proven ability to architect scalable, reliable AI solutions that solve complex, real-world problems across public sector and engineering domains.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pipelines, RAG architectures, LLM API integration, Google Gemini API, Prompt engineering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Docker, Oracle Cloud, AWS S3, pytest,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scrapes and processes job postings, utilizing a quality-gate loop to iterate AI-tailored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production failures by implementing multi-model failover, exponential-backoff retries, and content-based deduplication to maintain 24/7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pipeline integrity through 121 automated unit tests (pytest), ensuring robust performance and minimizing runtime errors in a live environment.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real NHS England A&amp;E performance data to identify drivers of the 4-hour waiting time target collapse, utilizing advanced SQL window functions and CTEs to quantify a 141x increase in 12-hour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(0.90–0.95 ROC-AUC) to predict monthly breach risk, containerizing the model within a Docker environment to ensure consistent deployment across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Orchestrated model serving via a scalable API architecture, implementing automated monitoring to track latency and model drift in a production-like environment.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 to improve model generalization.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